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outlineLvl w:val="2"/>
        <w:spacing w:after="300"/>
      </w:pPr>
      <w:r>
        <w:rPr>
          <w:rFonts w:ascii="Arial Unicode MS" w:hAnsi="Arial Unicode MS" w:cs="Arial Unicode MS" w:eastAsia="Arial Unicode MS"/>
          <w:b/>
          <w:sz w:val="28"/>
          <w:color w:val="000000"/>
        </w:rPr>
        <w:t>Титульний аркуш Повідомлення</w:t>
      </w:r>
      <w:r>
        <w:br/>
      </w:r>
      <w:r>
        <w:rPr>
          <w:rFonts w:ascii="Arial Unicode MS" w:hAnsi="Arial Unicode MS" w:cs="Arial Unicode MS" w:eastAsia="Arial Unicode MS"/>
          <w:b/>
          <w:sz w:val="28"/>
          <w:color w:val="000000"/>
        </w:rPr>
        <w:t>(Повідомлення про інформацію)</w:t>
      </w:r>
    </w:p>
    <w:tbl>
      <w:tblPr>
        <w:tblW w:w="2500" w:type="pct"/>
        <w:tblLayout w:type="fixed"/>
        <w:tblCellMar>
          <w:top w:w="15" w:type="dxa"/>
          <w:left w:w="15" w:type="dxa"/>
          <w:bottom w:w="15" w:type="dxa"/>
          <w:right w:w="15" w:type="dxa"/>
        </w:tblCellMar>
      </w:tblPr>
      <w:tblGrid>
        <w:gridCol w:w="5445"/>
      </w:tblGrid>
      <w:tr>
        <w:tc>
          <w:p>
            <w:r>
              <w:t/>
            </w:r>
          </w:p>
        </w:tc>
      </w:tr>
    </w:tbl>
    <w:p>
      <w:pPr>
        <w:ind w:left="60" w:right="60"/>
        <w:spacing w:before="60" w:after="60"/>
      </w:pPr>
      <w:r>
        <w:rPr>
          <w:rFonts w:ascii="Arial Unicode MS" w:hAnsi="Arial Unicode MS" w:cs="Arial Unicode MS" w:eastAsia="Arial Unicode MS"/>
          <w:sz w:val="24"/>
          <w:color w:val="000000"/>
        </w:rPr>
        <w:t/>
      </w:r>
    </w:p>
    <w:tbl>
      <w:tblPr>
        <w:tblW w:w="5000" w:type="pct"/>
        <w:tblLayout w:type="fixed"/>
        <w:tblCellMar>
          <w:top w:w="60" w:type="dxa"/>
          <w:left w:w="60" w:type="dxa"/>
          <w:bottom w:w="60" w:type="dxa"/>
          <w:right w:w="60" w:type="dxa"/>
        </w:tblCellMar>
      </w:tblPr>
      <w:tblGrid>
        <w:gridCol w:w="1380"/>
        <w:gridCol w:w="2385"/>
        <w:gridCol w:w="1380"/>
        <w:gridCol w:w="1395"/>
        <w:gridCol w:w="1395"/>
        <w:gridCol w:w="2955"/>
      </w:tblGrid>
      <w:tr>
        <w:tc>
          <w:tcPr>
            <w:tcBorders>
              <w:left w:val="nil"/>
              <w:top w:val="nil"/>
              <w:right w:val="nil"/>
              <w:bottom w:val="nil"/>
            </w:tcBorders>
            <w:vAlign w:val="center"/>
          </w:tcPr>
          <w:p>
            <w:r>
              <w:t/>
            </w:r>
          </w:p>
        </w:tc>
        <w:tc>
          <w:tcPr>
            <w:gridSpan w:val="3"/>
            <w:tcBorders>
              <w:left w:val="nil"/>
              <w:top w:val="nil"/>
              <w:right w:val="nil"/>
              <w:bottom w:val="nil"/>
            </w:tcBorders>
            <w:vAlign w:val="center"/>
          </w:tcPr>
          <w:p>
            <w:pPr>
              <w:jc w:val="center"/>
            </w:pPr>
            <w:r>
              <w:rPr>
                <w:rFonts w:ascii="Arial Unicode MS" w:hAnsi="Arial Unicode MS" w:cs="Arial Unicode MS" w:eastAsia="Arial Unicode MS"/>
                <w:sz w:val="24"/>
                <w:color w:val="000000"/>
              </w:rPr>
              <w:t>18.03.2020</w:t>
            </w:r>
          </w:p>
        </w:tc>
        <w:tc>
          <w:tcPr>
            <w:gridSpan w:val="2"/>
            <w:tcBorders>
              <w:left w:val="nil"/>
              <w:top w:val="nil"/>
              <w:right w:val="nil"/>
              <w:bottom w:val="nil"/>
            </w:tcBorders>
            <w:vAlign w:val="center"/>
          </w:tcPr>
          <w:p>
            <w:r>
              <w:t/>
            </w:r>
          </w:p>
        </w:tc>
      </w:tr>
      <w:tr>
        <w:tc>
          <w:tcPr>
            <w:tcBorders>
              <w:left w:val="nil"/>
              <w:top w:val="nil"/>
              <w:right w:val="nil"/>
              <w:bottom w:val="nil"/>
            </w:tcBorders>
            <w:vAlign w:val="center"/>
          </w:tcPr>
          <w:p>
            <w:r>
              <w:t/>
            </w:r>
          </w:p>
        </w:tc>
        <w:tc>
          <w:tcPr>
            <w:gridSpan w:val="3"/>
            <w:tcBorders>
              <w:left w:val="nil"/>
              <w:top w:val="inset" w:sz="6"/>
              <w:right w:val="nil"/>
              <w:bottom w:val="nil"/>
            </w:tcBorders>
            <w:vAlign w:val="center"/>
          </w:tcPr>
          <w:p>
            <w:pPr>
              <w:jc w:val="center"/>
            </w:pPr>
            <w:r>
              <w:rPr>
                <w:rFonts w:ascii="Arial Unicode MS" w:hAnsi="Arial Unicode MS" w:cs="Arial Unicode MS" w:eastAsia="Arial Unicode MS"/>
                <w:color w:val="000000"/>
              </w:rPr>
              <w:t>(дата реєстрації емітентом електронного документа)</w:t>
            </w:r>
          </w:p>
        </w:tc>
        <w:tc>
          <w:tcPr>
            <w:gridSpan w:val="2"/>
            <w:tcBorders>
              <w:left w:val="nil"/>
              <w:top w:val="nil"/>
              <w:right w:val="nil"/>
              <w:bottom w:val="nil"/>
            </w:tcBorders>
            <w:vAlign w:val="center"/>
          </w:tcPr>
          <w:p>
            <w:pPr>
              <w:jc w:val="center"/>
            </w:pPr>
            <w:r>
              <w:rPr>
                <w:rFonts w:ascii="Arial Unicode MS" w:hAnsi="Arial Unicode MS" w:cs="Arial Unicode MS" w:eastAsia="Arial Unicode MS"/>
                <w:sz w:val="24"/>
                <w:color w:val="000000"/>
              </w:rPr>
              <w:t> </w:t>
            </w:r>
          </w:p>
        </w:tc>
      </w:tr>
      <w:tr>
        <w:tc>
          <w:tcPr>
            <w:tcBorders>
              <w:left w:val="nil"/>
              <w:top w:val="nil"/>
              <w:right w:val="nil"/>
              <w:bottom w:val="nil"/>
            </w:tcBorders>
            <w:vAlign w:val="center"/>
          </w:tcPr>
          <w:p>
            <w:pPr>
              <w:jc w:val="right"/>
            </w:pPr>
            <w:r>
              <w:rPr>
                <w:rFonts w:ascii="Arial Unicode MS" w:hAnsi="Arial Unicode MS" w:cs="Arial Unicode MS" w:eastAsia="Arial Unicode MS"/>
                <w:sz w:val="24"/>
                <w:color w:val="000000"/>
              </w:rPr>
              <w:t>№</w:t>
            </w:r>
          </w:p>
        </w:tc>
        <w:tc>
          <w:tcPr>
            <w:gridSpan w:val="3"/>
            <w:tcBorders>
              <w:left w:val="nil"/>
              <w:top w:val="nil"/>
              <w:right w:val="nil"/>
              <w:bottom w:val="nil"/>
            </w:tcBorders>
            <w:vAlign w:val="center"/>
          </w:tcPr>
          <w:p>
            <w:pPr>
              <w:jc w:val="center"/>
            </w:pPr>
            <w:r>
              <w:rPr>
                <w:rFonts w:ascii="Arial Unicode MS" w:hAnsi="Arial Unicode MS" w:cs="Arial Unicode MS" w:eastAsia="Arial Unicode MS"/>
                <w:sz w:val="24"/>
                <w:color w:val="000000"/>
              </w:rPr>
              <w:t>1/РI</w:t>
            </w:r>
          </w:p>
        </w:tc>
        <w:tc>
          <w:tcPr>
            <w:gridSpan w:val="2"/>
            <w:tcBorders>
              <w:left w:val="nil"/>
              <w:top w:val="nil"/>
              <w:right w:val="nil"/>
              <w:bottom w:val="nil"/>
            </w:tcBorders>
            <w:vAlign w:val="center"/>
          </w:tcPr>
          <w:p>
            <w:r>
              <w:t/>
            </w:r>
          </w:p>
        </w:tc>
      </w:tr>
      <w:tr>
        <w:tc>
          <w:tcPr>
            <w:tcBorders>
              <w:left w:val="nil"/>
              <w:top w:val="nil"/>
              <w:right w:val="nil"/>
              <w:bottom w:val="nil"/>
            </w:tcBorders>
            <w:vAlign w:val="center"/>
          </w:tcPr>
          <w:p>
            <w:r>
              <w:t/>
            </w:r>
          </w:p>
        </w:tc>
        <w:tc>
          <w:tcPr>
            <w:gridSpan w:val="3"/>
            <w:tcBorders>
              <w:left w:val="nil"/>
              <w:top w:val="inset" w:sz="6"/>
              <w:right w:val="nil"/>
              <w:bottom w:val="nil"/>
            </w:tcBorders>
            <w:vAlign w:val="center"/>
          </w:tcPr>
          <w:p>
            <w:pPr>
              <w:jc w:val="center"/>
            </w:pPr>
            <w:r>
              <w:rPr>
                <w:rFonts w:ascii="Arial Unicode MS" w:hAnsi="Arial Unicode MS" w:cs="Arial Unicode MS" w:eastAsia="Arial Unicode MS"/>
                <w:color w:val="000000"/>
              </w:rPr>
              <w:t>(вихідний реєстраційний номер електронного документа)</w:t>
            </w:r>
          </w:p>
        </w:tc>
        <w:tc>
          <w:tcPr>
            <w:gridSpan w:val="2"/>
            <w:tcBorders>
              <w:left w:val="nil"/>
              <w:top w:val="nil"/>
              <w:right w:val="nil"/>
              <w:bottom w:val="nil"/>
            </w:tcBorders>
            <w:vAlign w:val="center"/>
          </w:tcPr>
          <w:p>
            <w:pPr>
              <w:jc w:val="center"/>
            </w:pPr>
            <w:r>
              <w:rPr>
                <w:rFonts w:ascii="Arial Unicode MS" w:hAnsi="Arial Unicode MS" w:cs="Arial Unicode MS" w:eastAsia="Arial Unicode MS"/>
                <w:sz w:val="24"/>
                <w:color w:val="000000"/>
              </w:rPr>
              <w:t> </w:t>
            </w:r>
          </w:p>
        </w:tc>
      </w:tr>
      <w:tr>
        <w:tc>
          <w:tcPr>
            <w:gridSpan w:val="6"/>
            <w:tcBorders>
              <w:left w:val="nil"/>
              <w:top w:val="nil"/>
              <w:right w:val="nil"/>
              <w:bottom w:val="nil"/>
            </w:tcBorders>
            <w:vAlign w:val="center"/>
          </w:tcPr>
          <w:p>
            <w:pPr>
              <w:jc w:val="both"/>
            </w:pPr>
            <w:r>
              <w:rPr>
                <w:rFonts w:ascii="Arial Unicode MS" w:hAnsi="Arial Unicode MS" w:cs="Arial Unicode MS" w:eastAsia="Arial Unicode MS"/>
                <w:sz w:val="24"/>
                <w:color w:val="000000"/>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w:t>
            </w:r>
          </w:p>
        </w:tc>
      </w:tr>
      <w:tr>
        <w:tc>
          <w:tcPr>
            <w:tcBorders>
              <w:left w:val="nil"/>
              <w:top w:val="nil"/>
              <w:right w:val="nil"/>
              <w:bottom w:val="nil"/>
            </w:tcBorders>
            <w:vAlign w:val="center"/>
          </w:tcPr>
          <w:p>
            <w:r>
              <w:t/>
            </w:r>
          </w:p>
        </w:tc>
        <w:tc>
          <w:tcPr>
            <w:tcW w:w="2385" w:type="dxa"/>
            <w:tcBorders>
              <w:left w:val="nil"/>
              <w:top w:val="nil"/>
              <w:right w:val="nil"/>
              <w:bottom w:val="nil"/>
            </w:tcBorders>
            <w:vAlign w:val="center"/>
          </w:tcPr>
          <w:p>
            <w:pPr>
              <w:jc w:val="center"/>
            </w:pPr>
            <w:r>
              <w:rPr>
                <w:rFonts w:ascii="Arial Unicode MS" w:hAnsi="Arial Unicode MS" w:cs="Arial Unicode MS" w:eastAsia="Arial Unicode MS"/>
                <w:sz w:val="24"/>
                <w:color w:val="000000"/>
              </w:rPr>
              <w:t>директор</w:t>
            </w:r>
          </w:p>
        </w:tc>
        <w:tc>
          <w:tcPr>
            <w:tcBorders>
              <w:left w:val="nil"/>
              <w:top w:val="nil"/>
              <w:right w:val="nil"/>
              <w:bottom w:val="nil"/>
            </w:tcBorders>
            <w:vAlign w:val="center"/>
          </w:tcPr>
          <w:p>
            <w:pPr>
              <w:jc w:val="center"/>
            </w:pPr>
            <w:r>
              <w:rPr>
                <w:rFonts w:ascii="Arial Unicode MS" w:hAnsi="Arial Unicode MS" w:cs="Arial Unicode MS" w:eastAsia="Arial Unicode MS"/>
                <w:sz w:val="24"/>
                <w:color w:val="000000"/>
              </w:rPr>
              <w:t> </w:t>
            </w:r>
          </w:p>
        </w:tc>
        <w:tc>
          <w:tcPr>
            <w:tcBorders>
              <w:left w:val="nil"/>
              <w:top w:val="nil"/>
              <w:right w:val="nil"/>
              <w:bottom w:val="nil"/>
            </w:tcBorders>
            <w:vAlign w:val="center"/>
          </w:tcPr>
          <w:p>
            <w:pPr>
              <w:jc w:val="center"/>
            </w:pPr>
            <w:r>
              <w:rPr>
                <w:rFonts w:ascii="Arial Unicode MS" w:hAnsi="Arial Unicode MS" w:cs="Arial Unicode MS" w:eastAsia="Arial Unicode MS"/>
                <w:sz w:val="24"/>
                <w:color w:val="000000"/>
              </w:rPr>
              <w:t> </w:t>
            </w:r>
          </w:p>
        </w:tc>
        <w:tc>
          <w:tcPr>
            <w:tcBorders>
              <w:left w:val="nil"/>
              <w:top w:val="nil"/>
              <w:right w:val="nil"/>
              <w:bottom w:val="nil"/>
            </w:tcBorders>
            <w:vAlign w:val="center"/>
          </w:tcPr>
          <w:p>
            <w:pPr>
              <w:jc w:val="center"/>
            </w:pPr>
            <w:r>
              <w:rPr>
                <w:rFonts w:ascii="Arial Unicode MS" w:hAnsi="Arial Unicode MS" w:cs="Arial Unicode MS" w:eastAsia="Arial Unicode MS"/>
                <w:sz w:val="24"/>
                <w:color w:val="000000"/>
              </w:rPr>
              <w:t> </w:t>
            </w:r>
          </w:p>
        </w:tc>
        <w:tc>
          <w:tcPr>
            <w:tcW w:w="2955" w:type="dxa"/>
            <w:tcBorders>
              <w:left w:val="nil"/>
              <w:top w:val="nil"/>
              <w:right w:val="nil"/>
              <w:bottom w:val="nil"/>
            </w:tcBorders>
            <w:vAlign w:val="center"/>
          </w:tcPr>
          <w:p>
            <w:pPr>
              <w:jc w:val="center"/>
            </w:pPr>
            <w:r>
              <w:rPr>
                <w:rFonts w:ascii="Arial Unicode MS" w:hAnsi="Arial Unicode MS" w:cs="Arial Unicode MS" w:eastAsia="Arial Unicode MS"/>
                <w:sz w:val="24"/>
                <w:color w:val="000000"/>
              </w:rPr>
              <w:t>Гулiєв Урфан Рiзван огли</w:t>
            </w:r>
          </w:p>
        </w:tc>
      </w:tr>
      <w:tr>
        <w:tc>
          <w:tcPr>
            <w:tcBorders>
              <w:left w:val="nil"/>
              <w:top w:val="nil"/>
              <w:right w:val="nil"/>
              <w:bottom w:val="nil"/>
            </w:tcBorders>
            <w:vAlign w:val="center"/>
          </w:tcPr>
          <w:p>
            <w:r>
              <w:t/>
            </w:r>
          </w:p>
        </w:tc>
        <w:tc>
          <w:tcPr>
            <w:tcBorders>
              <w:left w:val="nil"/>
              <w:top w:val="inset" w:sz="6"/>
              <w:right w:val="nil"/>
              <w:bottom w:val="nil"/>
            </w:tcBorders>
            <w:vAlign w:val="center"/>
          </w:tcPr>
          <w:p>
            <w:pPr>
              <w:jc w:val="center"/>
            </w:pPr>
            <w:r>
              <w:rPr>
                <w:rFonts w:ascii="Arial Unicode MS" w:hAnsi="Arial Unicode MS" w:cs="Arial Unicode MS" w:eastAsia="Arial Unicode MS"/>
                <w:color w:val="000000"/>
              </w:rPr>
              <w:t>(посада)</w:t>
            </w:r>
          </w:p>
        </w:tc>
        <w:tc>
          <w:tcPr>
            <w:tcBorders>
              <w:left w:val="nil"/>
              <w:top w:val="nil"/>
              <w:right w:val="nil"/>
              <w:bottom w:val="nil"/>
            </w:tcBorders>
            <w:vAlign w:val="center"/>
          </w:tcPr>
          <w:p>
            <w:pPr>
              <w:jc w:val="center"/>
            </w:pPr>
            <w:r>
              <w:rPr>
                <w:rFonts w:ascii="Arial Unicode MS" w:hAnsi="Arial Unicode MS" w:cs="Arial Unicode MS" w:eastAsia="Arial Unicode MS"/>
                <w:sz w:val="24"/>
                <w:color w:val="000000"/>
              </w:rPr>
              <w:t> </w:t>
            </w:r>
          </w:p>
        </w:tc>
        <w:tc>
          <w:tcPr>
            <w:tcBorders>
              <w:left w:val="nil"/>
              <w:top w:val="inset" w:sz="6"/>
              <w:right w:val="nil"/>
              <w:bottom w:val="nil"/>
            </w:tcBorders>
            <w:vAlign w:val="center"/>
          </w:tcPr>
          <w:p>
            <w:pPr>
              <w:jc w:val="center"/>
            </w:pPr>
            <w:r>
              <w:rPr>
                <w:rFonts w:ascii="Arial Unicode MS" w:hAnsi="Arial Unicode MS" w:cs="Arial Unicode MS" w:eastAsia="Arial Unicode MS"/>
                <w:color w:val="000000"/>
              </w:rPr>
              <w:t>(підпис)</w:t>
            </w:r>
          </w:p>
        </w:tc>
        <w:tc>
          <w:tcPr>
            <w:tcBorders>
              <w:left w:val="nil"/>
              <w:top w:val="nil"/>
              <w:right w:val="nil"/>
              <w:bottom w:val="nil"/>
            </w:tcBorders>
            <w:vAlign w:val="center"/>
          </w:tcPr>
          <w:p>
            <w:pPr>
              <w:jc w:val="center"/>
            </w:pPr>
            <w:r>
              <w:rPr>
                <w:rFonts w:ascii="Arial Unicode MS" w:hAnsi="Arial Unicode MS" w:cs="Arial Unicode MS" w:eastAsia="Arial Unicode MS"/>
                <w:sz w:val="24"/>
                <w:color w:val="000000"/>
              </w:rPr>
              <w:t> </w:t>
            </w:r>
          </w:p>
        </w:tc>
        <w:tc>
          <w:tcPr>
            <w:tcBorders>
              <w:left w:val="nil"/>
              <w:top w:val="inset" w:sz="6"/>
              <w:right w:val="nil"/>
              <w:bottom w:val="nil"/>
            </w:tcBorders>
            <w:vAlign w:val="center"/>
          </w:tcPr>
          <w:p>
            <w:pPr>
              <w:jc w:val="center"/>
            </w:pPr>
            <w:r>
              <w:rPr>
                <w:rFonts w:ascii="Arial Unicode MS" w:hAnsi="Arial Unicode MS" w:cs="Arial Unicode MS" w:eastAsia="Arial Unicode MS"/>
                <w:color w:val="000000"/>
              </w:rPr>
              <w:t>(прізвище та ініціали керівника)</w:t>
            </w:r>
          </w:p>
        </w:tc>
      </w:tr>
    </w:tbl>
    <w:p>
      <w:pPr>
        <w:ind w:left="60" w:right="60"/>
        <w:spacing w:before="60" w:after="60"/>
      </w:pPr>
      <w:r>
        <w:rPr>
          <w:rFonts w:ascii="Arial Unicode MS" w:hAnsi="Arial Unicode MS" w:cs="Arial Unicode MS" w:eastAsia="Arial Unicode MS"/>
          <w:sz w:val="24"/>
          <w:color w:val="000000"/>
        </w:rPr>
        <w:t/>
      </w:r>
    </w:p>
    <w:p>
      <w:pPr>
        <w:jc w:val="center"/>
        <w:outlineLvl w:val="3"/>
        <w:spacing w:after="225"/>
      </w:pPr>
      <w:r>
        <w:rPr>
          <w:rFonts w:ascii="Arial Unicode MS" w:hAnsi="Arial Unicode MS" w:cs="Arial Unicode MS" w:eastAsia="Arial Unicode MS"/>
          <w:b/>
          <w:sz w:val="24"/>
          <w:color w:val="000000"/>
        </w:rPr>
        <w:t>Особлива інформація (інформація про іпотечні цінні папери, сертифікати фонду операцій з нерухомістю) емітента</w:t>
      </w:r>
    </w:p>
    <w:p>
      <w:pPr>
        <w:jc w:val="center"/>
        <w:outlineLvl w:val="3"/>
        <w:spacing w:after="225"/>
      </w:pPr>
      <w:r>
        <w:rPr>
          <w:rFonts w:ascii="Arial Unicode MS" w:hAnsi="Arial Unicode MS" w:cs="Arial Unicode MS" w:eastAsia="Arial Unicode MS"/>
          <w:b/>
          <w:sz w:val="24"/>
          <w:color w:val="000000"/>
        </w:rPr>
        <w:t>I. Загальні відомості</w:t>
      </w:r>
    </w:p>
    <w:tbl>
      <w:tblPr>
        <w:tblW w:w="5000" w:type="pct"/>
        <w:tblLayout w:type="fixed"/>
        <w:tblCellMar>
          <w:top w:w="60" w:type="dxa"/>
          <w:left w:w="60" w:type="dxa"/>
          <w:bottom w:w="60" w:type="dxa"/>
          <w:right w:w="60" w:type="dxa"/>
        </w:tblCellMar>
      </w:tblPr>
      <w:tblGrid>
        <w:gridCol w:w="10890"/>
      </w:tblGrid>
      <w:tr>
        <w:tc>
          <w:tcPr>
            <w:vAlign w:val="center"/>
          </w:tcPr>
          <w:p>
            <w:r>
              <w:rPr>
                <w:rFonts w:ascii="Arial Unicode MS" w:hAnsi="Arial Unicode MS" w:cs="Arial Unicode MS" w:eastAsia="Arial Unicode MS"/>
                <w:sz w:val="24"/>
                <w:color w:val="000000"/>
              </w:rPr>
              <w:t>1. Повне найменування емітента</w:t>
            </w:r>
          </w:p>
        </w:tc>
      </w:tr>
      <w:tr>
        <w:tc>
          <w:tcPr>
            <w:vAlign w:val="center"/>
          </w:tcPr>
          <w:p>
            <w:pPr>
              <w:jc w:val="center"/>
            </w:pPr>
            <w:r>
              <w:rPr>
                <w:rFonts w:ascii="Arial Unicode MS" w:hAnsi="Arial Unicode MS" w:cs="Arial Unicode MS" w:eastAsia="Arial Unicode MS"/>
                <w:i/>
                <w:sz w:val="24"/>
                <w:color w:val="000000"/>
              </w:rPr>
              <w:t>Приватне акцiонерне товариство "АСНОВА ХОЛДИНГ"</w:t>
            </w:r>
          </w:p>
        </w:tc>
      </w:tr>
      <w:tr>
        <w:tc>
          <w:tcPr>
            <w:vAlign w:val="center"/>
          </w:tcPr>
          <w:p>
            <w:r>
              <w:rPr>
                <w:rFonts w:ascii="Arial Unicode MS" w:hAnsi="Arial Unicode MS" w:cs="Arial Unicode MS" w:eastAsia="Arial Unicode MS"/>
                <w:sz w:val="24"/>
                <w:color w:val="000000"/>
              </w:rPr>
              <w:t>2. Організаційно-правова форма</w:t>
            </w:r>
          </w:p>
        </w:tc>
      </w:tr>
      <w:tr>
        <w:tc>
          <w:tcPr>
            <w:vAlign w:val="center"/>
          </w:tcPr>
          <w:p>
            <w:pPr>
              <w:jc w:val="center"/>
            </w:pPr>
            <w:r>
              <w:rPr>
                <w:rFonts w:ascii="Arial Unicode MS" w:hAnsi="Arial Unicode MS" w:cs="Arial Unicode MS" w:eastAsia="Arial Unicode MS"/>
                <w:sz w:val="24"/>
                <w:color w:val="000000"/>
              </w:rPr>
              <w:t>Приватне акціонерне товариство</w:t>
            </w:r>
          </w:p>
        </w:tc>
      </w:tr>
      <w:tr>
        <w:tc>
          <w:tcPr>
            <w:vAlign w:val="center"/>
          </w:tcPr>
          <w:p>
            <w:r>
              <w:rPr>
                <w:rFonts w:ascii="Arial Unicode MS" w:hAnsi="Arial Unicode MS" w:cs="Arial Unicode MS" w:eastAsia="Arial Unicode MS"/>
                <w:sz w:val="24"/>
                <w:color w:val="000000"/>
              </w:rPr>
              <w:t>3. Місцезнаходження</w:t>
            </w:r>
          </w:p>
        </w:tc>
      </w:tr>
      <w:tr>
        <w:tc>
          <w:tcPr>
            <w:vAlign w:val="center"/>
          </w:tcPr>
          <w:p>
            <w:pPr>
              <w:jc w:val="center"/>
            </w:pPr>
            <w:r>
              <w:rPr>
                <w:rFonts w:ascii="Arial Unicode MS" w:hAnsi="Arial Unicode MS" w:cs="Arial Unicode MS" w:eastAsia="Arial Unicode MS"/>
                <w:sz w:val="24"/>
                <w:color w:val="000000"/>
              </w:rPr>
              <w:t>03115, м. Київ обл., Київ, Миколи Краснова, буд27</w:t>
            </w:r>
          </w:p>
        </w:tc>
      </w:tr>
      <w:tr>
        <w:tc>
          <w:tcPr>
            <w:vAlign w:val="center"/>
          </w:tcPr>
          <w:p>
            <w:r>
              <w:rPr>
                <w:rFonts w:ascii="Arial Unicode MS" w:hAnsi="Arial Unicode MS" w:cs="Arial Unicode MS" w:eastAsia="Arial Unicode MS"/>
                <w:sz w:val="24"/>
                <w:color w:val="000000"/>
              </w:rPr>
              <w:t>4. Ідентифікаційний код юридичної особи</w:t>
            </w:r>
          </w:p>
        </w:tc>
      </w:tr>
      <w:tr>
        <w:tc>
          <w:tcPr>
            <w:vAlign w:val="center"/>
          </w:tcPr>
          <w:p>
            <w:pPr>
              <w:jc w:val="center"/>
            </w:pPr>
            <w:r>
              <w:rPr>
                <w:rFonts w:ascii="Arial Unicode MS" w:hAnsi="Arial Unicode MS" w:cs="Arial Unicode MS" w:eastAsia="Arial Unicode MS"/>
                <w:sz w:val="24"/>
                <w:color w:val="000000"/>
              </w:rPr>
              <w:t>32252776</w:t>
            </w:r>
          </w:p>
        </w:tc>
      </w:tr>
      <w:tr>
        <w:tc>
          <w:tcPr>
            <w:vAlign w:val="center"/>
          </w:tcPr>
          <w:p>
            <w:r>
              <w:rPr>
                <w:rFonts w:ascii="Arial Unicode MS" w:hAnsi="Arial Unicode MS" w:cs="Arial Unicode MS" w:eastAsia="Arial Unicode MS"/>
                <w:sz w:val="24"/>
                <w:color w:val="000000"/>
              </w:rPr>
              <w:t>5. Міжміський код та телефон, факс</w:t>
            </w:r>
          </w:p>
        </w:tc>
      </w:tr>
      <w:tr>
        <w:tc>
          <w:tcPr>
            <w:vAlign w:val="center"/>
          </w:tcPr>
          <w:p>
            <w:pPr>
              <w:jc w:val="center"/>
            </w:pPr>
            <w:r>
              <w:rPr>
                <w:rFonts w:ascii="Arial Unicode MS" w:hAnsi="Arial Unicode MS" w:cs="Arial Unicode MS" w:eastAsia="Arial Unicode MS"/>
                <w:sz w:val="24"/>
                <w:color w:val="000000"/>
              </w:rPr>
              <w:t>+380444529886 +380444529886</w:t>
            </w:r>
          </w:p>
        </w:tc>
      </w:tr>
      <w:tr>
        <w:tc>
          <w:tcPr>
            <w:vAlign w:val="center"/>
          </w:tcPr>
          <w:p>
            <w:r>
              <w:rPr>
                <w:rFonts w:ascii="Arial Unicode MS" w:hAnsi="Arial Unicode MS" w:cs="Arial Unicode MS" w:eastAsia="Arial Unicode MS"/>
                <w:sz w:val="24"/>
                <w:color w:val="000000"/>
              </w:rPr>
              <w:t>6. Адреса електронної пошти</w:t>
            </w:r>
          </w:p>
        </w:tc>
      </w:tr>
      <w:tr>
        <w:tc>
          <w:tcPr>
            <w:vAlign w:val="center"/>
          </w:tcPr>
          <w:p>
            <w:pPr>
              <w:jc w:val="center"/>
            </w:pPr>
            <w:r>
              <w:rPr>
                <w:rFonts w:ascii="Arial Unicode MS" w:hAnsi="Arial Unicode MS" w:cs="Arial Unicode MS" w:eastAsia="Arial Unicode MS"/>
                <w:sz w:val="24"/>
                <w:color w:val="000000"/>
              </w:rPr>
              <w:t>steblyanko.i@asnova.com</w:t>
            </w:r>
          </w:p>
        </w:tc>
      </w:tr>
      <w:tr>
        <w:tc>
          <w:p>
            <w:r>
              <w:t/>
            </w:r>
          </w:p>
        </w:tc>
      </w:tr>
      <w:tr>
        <w:tc>
          <w:tcPr>
            <w:vAlign w:val="center"/>
          </w:tcPr>
          <w:p>
            <w:r>
              <w:rPr>
                <w:rFonts w:ascii="Arial Unicode MS" w:hAnsi="Arial Unicode MS" w:cs="Arial Unicode MS" w:eastAsia="Arial Unicode MS"/>
                <w:sz w:val="24"/>
                <w:color w:val="000000"/>
              </w:rPr>
              <w:t>7.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оприлюднення регульованої інформації від імені учасника фондового ринку.</w:t>
            </w:r>
          </w:p>
        </w:tc>
      </w:tr>
      <w:tr>
        <w:tc>
          <w:tcPr>
            <w:vAlign w:val="center"/>
          </w:tcPr>
          <w:p>
            <w:pPr>
              <w:jc w:val="center"/>
            </w:pPr>
            <w:r>
              <w:rPr>
                <w:rFonts w:ascii="Arial Unicode MS" w:hAnsi="Arial Unicode MS" w:cs="Arial Unicode MS" w:eastAsia="Arial Unicode MS"/>
                <w:sz w:val="24"/>
                <w:color w:val="000000"/>
              </w:rPr>
              <w:t>ДУ "АРIФРУ"</w:t>
            </w:r>
            <w:r>
              <w:br/>
            </w:r>
            <w:r>
              <w:rPr>
                <w:rFonts w:ascii="Arial Unicode MS" w:hAnsi="Arial Unicode MS" w:cs="Arial Unicode MS" w:eastAsia="Arial Unicode MS"/>
                <w:sz w:val="24"/>
                <w:color w:val="000000"/>
              </w:rPr>
              <w:t>21676262</w:t>
            </w:r>
            <w:r>
              <w:br/>
            </w:r>
            <w:r>
              <w:rPr>
                <w:rFonts w:ascii="Arial Unicode MS" w:hAnsi="Arial Unicode MS" w:cs="Arial Unicode MS" w:eastAsia="Arial Unicode MS"/>
                <w:sz w:val="24"/>
                <w:color w:val="000000"/>
              </w:rPr>
              <w:t>УКРАЇНА</w:t>
            </w:r>
            <w:r>
              <w:br/>
            </w:r>
            <w:r>
              <w:rPr>
                <w:rFonts w:ascii="Arial Unicode MS" w:hAnsi="Arial Unicode MS" w:cs="Arial Unicode MS" w:eastAsia="Arial Unicode MS"/>
                <w:sz w:val="24"/>
                <w:color w:val="000000"/>
              </w:rPr>
              <w:t>DR/00001/APA</w:t>
            </w:r>
          </w:p>
        </w:tc>
      </w:tr>
      <w:tr>
        <w:tc>
          <w:p>
            <w:r>
              <w:t/>
            </w:r>
          </w:p>
        </w:tc>
      </w:tr>
    </w:tbl>
    <w:p>
      <w:pPr>
        <w:ind w:left="60" w:right="60"/>
        <w:spacing w:before="60" w:after="60"/>
      </w:pPr>
      <w:r>
        <w:rPr>
          <w:rFonts w:ascii="Arial Unicode MS" w:hAnsi="Arial Unicode MS" w:cs="Arial Unicode MS" w:eastAsia="Arial Unicode MS"/>
          <w:sz w:val="24"/>
          <w:color w:val="000000"/>
        </w:rPr>
        <w:t/>
      </w:r>
    </w:p>
    <w:p>
      <w:pPr>
        <w:jc w:val="center"/>
        <w:outlineLvl w:val="3"/>
        <w:spacing w:after="225"/>
      </w:pPr>
      <w:r>
        <w:rPr>
          <w:rFonts w:ascii="Arial Unicode MS" w:hAnsi="Arial Unicode MS" w:cs="Arial Unicode MS" w:eastAsia="Arial Unicode MS"/>
          <w:b/>
          <w:sz w:val="24"/>
          <w:color w:val="000000"/>
        </w:rPr>
        <w:t>II. Дані про дату та місце оприлюднення Повідомлення (Повідомлення про інформацію)</w:t>
      </w:r>
    </w:p>
    <w:tbl>
      <w:tblPr>
        <w:tblW w:w="5000" w:type="pct"/>
        <w:tblLayout w:type="fixed"/>
        <w:tblCellMar>
          <w:top w:w="60" w:type="dxa"/>
          <w:left w:w="60" w:type="dxa"/>
          <w:bottom w:w="60" w:type="dxa"/>
          <w:right w:w="60" w:type="dxa"/>
        </w:tblCellMar>
      </w:tblPr>
      <w:tblGrid>
        <w:gridCol w:w="2715"/>
        <w:gridCol w:w="2715"/>
        <w:gridCol w:w="2730"/>
        <w:gridCol w:w="2730"/>
      </w:tblGrid>
      <w:tr>
        <w:tc>
          <w:tcPr>
            <w:tcBorders>
              <w:left w:val="nil"/>
              <w:top w:val="nil"/>
              <w:right w:val="nil"/>
              <w:bottom w:val="nil"/>
            </w:tcBorders>
            <w:vAlign w:val="center"/>
          </w:tcPr>
          <w:p>
            <w:r>
              <w:rPr>
                <w:rFonts w:ascii="Arial Unicode MS" w:hAnsi="Arial Unicode MS" w:cs="Arial Unicode MS" w:eastAsia="Arial Unicode MS"/>
                <w:sz w:val="24"/>
                <w:color w:val="000000"/>
              </w:rPr>
              <w:t>Повідомлення розміщено на власному веб-сайті учасника фондового ринку</w:t>
            </w:r>
          </w:p>
        </w:tc>
        <w:tc>
          <w:tcPr>
            <w:tcBorders>
              <w:left w:val="nil"/>
              <w:top w:val="nil"/>
              <w:right w:val="nil"/>
              <w:bottom w:val="nil"/>
            </w:tcBorders>
            <w:vAlign w:val="center"/>
          </w:tcPr>
          <w:p>
            <w:pPr>
              <w:jc w:val="center"/>
            </w:pPr>
            <w:r>
              <w:rPr>
                <w:rFonts w:ascii="Arial Unicode MS" w:hAnsi="Arial Unicode MS" w:cs="Arial Unicode MS" w:eastAsia="Arial Unicode MS"/>
                <w:sz w:val="24"/>
                <w:color w:val="000000"/>
              </w:rPr>
              <w:t>http://asnova.com/</w:t>
            </w:r>
          </w:p>
        </w:tc>
        <w:tc>
          <w:tcPr>
            <w:tcBorders>
              <w:left w:val="nil"/>
              <w:top w:val="nil"/>
              <w:right w:val="nil"/>
              <w:bottom w:val="nil"/>
            </w:tcBorders>
            <w:vAlign w:val="center"/>
          </w:tcPr>
          <w:p>
            <w:pPr>
              <w:jc w:val="center"/>
            </w:pPr>
            <w:r>
              <w:rPr>
                <w:rFonts w:ascii="Arial Unicode MS" w:hAnsi="Arial Unicode MS" w:cs="Arial Unicode MS" w:eastAsia="Arial Unicode MS"/>
                <w:sz w:val="24"/>
                <w:color w:val="000000"/>
              </w:rPr>
              <w:t> </w:t>
            </w:r>
          </w:p>
        </w:tc>
        <w:tc>
          <w:tcPr>
            <w:tcBorders>
              <w:left w:val="nil"/>
              <w:top w:val="nil"/>
              <w:right w:val="nil"/>
              <w:bottom w:val="nil"/>
            </w:tcBorders>
            <w:vAlign w:val="center"/>
          </w:tcPr>
          <w:p>
            <w:pPr>
              <w:jc w:val="center"/>
            </w:pPr>
            <w:r>
              <w:rPr>
                <w:rFonts w:ascii="Arial Unicode MS" w:hAnsi="Arial Unicode MS" w:cs="Arial Unicode MS" w:eastAsia="Arial Unicode MS"/>
                <w:sz w:val="24"/>
                <w:color w:val="000000"/>
              </w:rPr>
              <w:t>18.03.2020</w:t>
            </w:r>
          </w:p>
        </w:tc>
      </w:tr>
      <w:tr>
        <w:tc>
          <w:tcPr>
            <w:tcBorders>
              <w:left w:val="nil"/>
              <w:top w:val="nil"/>
              <w:right w:val="nil"/>
              <w:bottom w:val="nil"/>
            </w:tcBorders>
            <w:vAlign w:val="center"/>
          </w:tcPr>
          <w:p>
            <w:r>
              <w:t/>
            </w:r>
          </w:p>
        </w:tc>
        <w:tc>
          <w:tcPr>
            <w:tcBorders>
              <w:left w:val="nil"/>
              <w:top w:val="inset" w:sz="6"/>
              <w:right w:val="nil"/>
              <w:bottom w:val="nil"/>
            </w:tcBorders>
            <w:vAlign w:val="center"/>
          </w:tcPr>
          <w:p>
            <w:pPr>
              <w:jc w:val="center"/>
            </w:pPr>
            <w:r>
              <w:rPr>
                <w:rFonts w:ascii="Arial Unicode MS" w:hAnsi="Arial Unicode MS" w:cs="Arial Unicode MS" w:eastAsia="Arial Unicode MS"/>
                <w:color w:val="000000"/>
              </w:rPr>
              <w:t>(адреса сторінки)</w:t>
            </w:r>
          </w:p>
        </w:tc>
        <w:tc>
          <w:tcPr>
            <w:tcBorders>
              <w:left w:val="nil"/>
              <w:top w:val="nil"/>
              <w:right w:val="nil"/>
              <w:bottom w:val="nil"/>
            </w:tcBorders>
            <w:vAlign w:val="center"/>
          </w:tcPr>
          <w:p>
            <w:r>
              <w:t/>
            </w:r>
          </w:p>
        </w:tc>
        <w:tc>
          <w:tcPr>
            <w:tcBorders>
              <w:left w:val="nil"/>
              <w:top w:val="inset" w:sz="6"/>
              <w:right w:val="nil"/>
              <w:bottom w:val="nil"/>
            </w:tcBorders>
            <w:vAlign w:val="center"/>
          </w:tcPr>
          <w:p>
            <w:pPr>
              <w:jc w:val="center"/>
            </w:pPr>
            <w:r>
              <w:rPr>
                <w:rFonts w:ascii="Arial Unicode MS" w:hAnsi="Arial Unicode MS" w:cs="Arial Unicode MS" w:eastAsia="Arial Unicode MS"/>
                <w:color w:val="000000"/>
              </w:rPr>
              <w:t>(дата)</w:t>
            </w:r>
          </w:p>
        </w:tc>
      </w:tr>
    </w:tbl>
    <w:p>
      <w:pPr>
        <w:jc w:val="center"/>
        <w:outlineLvl w:val="2"/>
        <w:spacing w:after="300"/>
      </w:pPr>
      <w:r>
        <w:rPr>
          <w:rFonts w:ascii="Arial Unicode MS" w:hAnsi="Arial Unicode MS" w:cs="Arial Unicode MS" w:eastAsia="Arial Unicode MS"/>
          <w:b/>
          <w:sz w:val="28"/>
          <w:color w:val="000000"/>
        </w:rPr>
        <w:t>Відомості про прийняття рішення про попереднє надання згоди на вчинення значних правочинів</w:t>
      </w:r>
    </w:p>
    <w:tbl>
      <w:tblPr>
        <w:tblW w:w="5000" w:type="pct"/>
        <w:tblLayout w:type="fixed"/>
        <w:tblCellMar>
          <w:top w:w="60" w:type="dxa"/>
          <w:left w:w="60" w:type="dxa"/>
          <w:bottom w:w="60" w:type="dxa"/>
          <w:right w:w="60" w:type="dxa"/>
        </w:tblCellMar>
      </w:tblPr>
      <w:tblGrid>
        <w:gridCol w:w="555"/>
        <w:gridCol w:w="2175"/>
        <w:gridCol w:w="2175"/>
        <w:gridCol w:w="2715"/>
        <w:gridCol w:w="3270"/>
      </w:tblGrid>
      <w:tr>
        <w:tc>
          <w:tcPr>
            <w:tcW w:w="250" w:type="pct"/>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 з/п</w:t>
            </w:r>
          </w:p>
        </w:tc>
        <w:tc>
          <w:tcPr>
            <w:tcW w:w="1000" w:type="pct"/>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Дата прийняття рішення</w:t>
            </w:r>
          </w:p>
        </w:tc>
        <w:tc>
          <w:tcPr>
            <w:tcW w:w="1000" w:type="pct"/>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Гранична сукупна вартість правочинів (тис. грн)</w:t>
            </w:r>
          </w:p>
        </w:tc>
        <w:tc>
          <w:tcPr>
            <w:tcW w:w="1250" w:type="pct"/>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Вартість активів емітента за даними останньої річної фінансової звітності (тис. грн)</w:t>
            </w:r>
          </w:p>
        </w:tc>
        <w:tc>
          <w:tcPr>
            <w:tcW w:w="1500" w:type="pct"/>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Співвідношення граничної сукупності вартості правочинів до вартості активів емітента за даними останньої річної фінансової звітності (у відсотках)</w:t>
            </w:r>
          </w:p>
        </w:tc>
      </w:tr>
      <w:tr>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1</w:t>
            </w:r>
          </w:p>
        </w:tc>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2</w:t>
            </w:r>
          </w:p>
        </w:tc>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3</w:t>
            </w:r>
          </w:p>
        </w:tc>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4</w:t>
            </w:r>
          </w:p>
        </w:tc>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5</w:t>
            </w:r>
          </w:p>
        </w:tc>
      </w:tr>
      <w:tr>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sz w:val="24"/>
                <w:color w:val="000000"/>
              </w:rPr>
              <w:t>1</w:t>
            </w:r>
          </w:p>
        </w:tc>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sz w:val="24"/>
                <w:color w:val="000000"/>
              </w:rPr>
              <w:t>17.03.2020</w:t>
            </w:r>
          </w:p>
        </w:tc>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sz w:val="24"/>
                <w:color w:val="000000"/>
              </w:rPr>
              <w:t>1500000</w:t>
            </w:r>
          </w:p>
        </w:tc>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sz w:val="24"/>
                <w:color w:val="000000"/>
              </w:rPr>
              <w:t>1199853</w:t>
            </w:r>
          </w:p>
        </w:tc>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sz w:val="24"/>
                <w:color w:val="000000"/>
              </w:rPr>
              <w:t>125</w:t>
            </w:r>
          </w:p>
        </w:tc>
      </w:tr>
      <w:tr>
        <w:tc>
          <w:tcPr>
            <w:gridSpan w:val="5"/>
            <w:tcBorders>
              <w:left w:val="single" w:sz="6" w:color="000000"/>
              <w:top w:val="single" w:sz="6" w:color="000000"/>
              <w:right w:val="single" w:sz="6" w:color="000000"/>
              <w:bottom w:val="single" w:sz="6" w:color="000000"/>
            </w:tcBorders>
            <w:vAlign w:val="center"/>
          </w:tcPr>
          <w:p>
            <w:r>
              <w:rPr>
                <w:rFonts w:ascii="Arial Unicode MS" w:hAnsi="Arial Unicode MS" w:cs="Arial Unicode MS" w:eastAsia="Arial Unicode MS"/>
                <w:b/>
                <w:sz w:val="24"/>
                <w:color w:val="000000"/>
              </w:rPr>
              <w:t>Зміст інформації:</w:t>
            </w:r>
          </w:p>
        </w:tc>
      </w:tr>
      <w:tr>
        <w:tc>
          <w:tcPr>
            <w:gridSpan w:val="5"/>
            <w:tcBorders>
              <w:left w:val="single" w:sz="6" w:color="000000"/>
              <w:top w:val="single" w:sz="6" w:color="000000"/>
              <w:right w:val="single" w:sz="6" w:color="000000"/>
              <w:bottom w:val="single" w:sz="6" w:color="000000"/>
            </w:tcBorders>
            <w:vAlign w:val="center"/>
          </w:tcPr>
          <w:p>
            <w:pPr>
              <w:ind w:firstLine="195"/>
            </w:pPr>
            <w:r>
              <w:rPr>
                <w:rFonts w:ascii="Arial Unicode MS" w:hAnsi="Arial Unicode MS" w:cs="Arial Unicode MS" w:eastAsia="Arial Unicode MS"/>
                <w:sz w:val="24"/>
                <w:color w:val="000000"/>
              </w:rPr>
              <w:t>Загальними зборами акцiонерiв ПРАТ "АСНОВА ХОЛДИНГ", якi вiдбулися 17.03.2020 р., було прийнято рiшення про попереднє надання згоди на вчинення Товариством значних правочинiв, а саме:</w:t>
            </w:r>
            <w:r>
              <w:br/>
            </w:r>
            <w:r>
              <w:rPr>
                <w:rFonts w:ascii="Arial Unicode MS" w:hAnsi="Arial Unicode MS" w:cs="Arial Unicode MS" w:eastAsia="Arial Unicode MS"/>
                <w:sz w:val="24"/>
                <w:color w:val="000000"/>
              </w:rPr>
              <w:t>1. Надати згоду на укладення Товариством договорiв про внесення змiн та/або доповнень до Договору про надання кредитної лiнiї вiд 20.07.2012 року, укладеного з АТ «КРЕДI АГРIКОЛЬ БАНК» (надалi – Кредитний договiр) вiдповiдно до яких, в тому, числi, але не обмежуючись цим, буде продовжено строк користування кредитною лiнiєю на строк до одного року (включно), буде змiнено склад позичальникiв за Кредитним договором та/або внесенi iншi змiни, якi будуть погодженi Товариством з АТ «КРЕДI АГРIКОЛЬ БАНК» (надалi – «Банк»), або про викладення зазначеного договору в новiй редакцiї, або, в разi необхiдностi, укласти з АТ «КРЕДI АГРIКОЛЬ БАНК» новий договiр про надання фiнансування, та</w:t>
            </w:r>
            <w:r>
              <w:br/>
            </w:r>
            <w:r>
              <w:rPr>
                <w:rFonts w:ascii="Arial Unicode MS" w:hAnsi="Arial Unicode MS" w:cs="Arial Unicode MS" w:eastAsia="Arial Unicode MS"/>
                <w:sz w:val="24"/>
                <w:color w:val="000000"/>
              </w:rPr>
              <w:t>- надати згоду на укладення Товариством з Банком договорiв про внесення змiн та/або доповнень до договору поруки вiд 29.11.2019 року, укладеного з Банком щодо забезпечення зобов’язань позичальникiв перед Банком за Кредитним договором (надалi – Договiр поруки), або про укладення нового договору поруки, вiдповiдно до умов якого Товариство поручатиметься за виконання позичальниками, зобов’язань перед Банком за Договором про надання кредитної лiнiї вiд 20.07.2012 року чи за новим договором про надання фiнансування, якщо такий буде укладено на замiну iснуючого договору про надання фiнансування. Схвалити укладенi Товариством змiни та доповнення №17 вiд 29.11.2019 до Кредитного договору та Договiр поруки.</w:t>
            </w:r>
            <w:r>
              <w:br/>
            </w:r>
            <w:r>
              <w:rPr>
                <w:rFonts w:ascii="Arial Unicode MS" w:hAnsi="Arial Unicode MS" w:cs="Arial Unicode MS" w:eastAsia="Arial Unicode MS"/>
                <w:sz w:val="24"/>
                <w:color w:val="000000"/>
              </w:rPr>
              <w:t>Надати Наглядовiй радi Товариства повноваження протягом не бiльш як одного року з дати прийняття цього рiшення, в разi необхiдностi, визначати iншi умови зазначених вище значних правочинiв, якi схваленi Загальними зборами акцiонерiв i, якi будуть укладатись Товариством та приймати рiшення щодо або погоджувати укладення значних правочинiв iншими пов’язаними юридичними особами, дочiрнiми пiдприємствами, власником/засновником яких є Товариство тощо</w:t>
            </w:r>
            <w:r>
              <w:br/>
            </w:r>
            <w:r>
              <w:rPr>
                <w:rFonts w:ascii="Arial Unicode MS" w:hAnsi="Arial Unicode MS" w:cs="Arial Unicode MS" w:eastAsia="Arial Unicode MS"/>
                <w:sz w:val="24"/>
                <w:color w:val="000000"/>
              </w:rPr>
              <w:t>2. У зв’язку iз тим, що на дату проведення загальних зборiв акцiонерiв неможливо визначити, якi значнi правочини вчинятимуться Товариством та iншими пов’язаними юридичними особами, дочiрнiми пiдприємствами (компанiями холдингу), власником/засновником яких є Товариство, у ходi поточної господарської дiяльностi, прийнято рiшення про попереднє схвалення значних правочинiв, якi можуть вчинятися Товариством та iншими пов’язаними юридичними особами, дочiрнiми пiдприємствами (компанiями холдингу), власником/засновником яких є Товариство (в тому числi, але не виключно, ПрАТ «САВ 92», ДП «САВСЕРВIС КАРПАТИ», ДП «САВСЕРВIС СТОЛИЦЯ», ТОВ «САВСЕРВIС-МОВА»), значних правочинiв, якi можуть вчинятися протягом не бiльш як одного року з дати прийняття даного рiшення, а саме:</w:t>
            </w:r>
            <w:r>
              <w:br/>
            </w:r>
            <w:r>
              <w:rPr>
                <w:rFonts w:ascii="Arial Unicode MS" w:hAnsi="Arial Unicode MS" w:cs="Arial Unicode MS" w:eastAsia="Arial Unicode MS"/>
                <w:sz w:val="24"/>
                <w:color w:val="000000"/>
              </w:rPr>
              <w:t>- одержання Товариством та iншими пов’язаними юридичними особами, дочiрнiми пiдприємствами (компанiями холдингу), власником/засновником яких є Товариство, кредитiв/позик (прийняття/отримання грошових зобов’язань, iншого фiнансування. коштiв/зобов’язань), овердрафтiв, гарантiй, акредитивiв та/або одержання будь-яких iнших банкiвських продуктiв/послуг шляхом укладення вiдповiдних договорiв та додаткових угод до них;</w:t>
            </w:r>
            <w:r>
              <w:br/>
            </w:r>
            <w:r>
              <w:rPr>
                <w:rFonts w:ascii="Arial Unicode MS" w:hAnsi="Arial Unicode MS" w:cs="Arial Unicode MS" w:eastAsia="Arial Unicode MS"/>
                <w:sz w:val="24"/>
                <w:color w:val="000000"/>
              </w:rPr>
              <w:t>- передачу майна Товариства та iнших пов’язаних юридичних осiб, дочiрнiх пiдприємств (компанiй холдингу), власником/засновником яких є Товариство (нерухомого, рухомого) в заставу/iпотеку та/або укладання iнших договорiв забезпечення в забезпечення виконання зобов’язань (в тому числi щодо надання фiнансової поруки шляхом укладення договору поруки) Товариства, iнших пов’язаних юридичних осiб, дочiрнiх пiдприємств (компанiй холдингу), власником/засновником яких є Товариство та/або забезпечення зобов’язань будь-яких третiх осiб;</w:t>
            </w:r>
            <w:r>
              <w:br/>
            </w:r>
            <w:r>
              <w:rPr>
                <w:rFonts w:ascii="Arial Unicode MS" w:hAnsi="Arial Unicode MS" w:cs="Arial Unicode MS" w:eastAsia="Arial Unicode MS"/>
                <w:sz w:val="24"/>
                <w:color w:val="000000"/>
              </w:rPr>
              <w:t>- укладення Товариством та iншими пов’язаними юридичними особами, дочiрнiми пiдприємствами (компанiями холдингу), власником/засновником яких є Товариство, договорiв, додаткових угод до них щодо змiни умов зобов’язання за укладеними договорами, а саме: щодо продовження строку та/або змiни iснуючих умов кредитних договорiв та/або договорiв про отримання iншого фiнансування, в тому числi, але не обмежуючись, збiльшення/зменшення розмiру грошових зобов’язань та обсягу фiнансування; щодо введення до кредитного/кредитних договорiв додаткових Позичальникiв за умови, що цi Позичальники є пов’язаними юридичними особами (компанiями холдингу) та/або власником/засновником яких є Товариство.</w:t>
            </w:r>
            <w:r>
              <w:br/>
            </w:r>
            <w:r>
              <w:rPr>
                <w:rFonts w:ascii="Arial Unicode MS" w:hAnsi="Arial Unicode MS" w:cs="Arial Unicode MS" w:eastAsia="Arial Unicode MS"/>
                <w:sz w:val="24"/>
                <w:color w:val="000000"/>
              </w:rPr>
              <w:t>- щодо поширення дiючого забезпечення (застави/iпотеки/поруки) Товариства та iнших пов’язаних юридичних осiб, дочiрнiх пiдприємств (компанiй холдингу), власником/засновником яких є Товариство на змiненi умови зобов’язань (в тому числi продовження/зменшення строку, збiльшення/зменшення розмiру та взятих на себе грошових за укладеними договорами, повернення кредитних коштiв, сплати процентiв та комiсiй, будь-яких iнших платежiв) шляхом укладення договорiв, додаткових угод до договорiв забезпечення (застави/iпотеки/поруки).</w:t>
            </w:r>
            <w:r>
              <w:br/>
            </w:r>
            <w:r>
              <w:rPr>
                <w:rFonts w:ascii="Arial Unicode MS" w:hAnsi="Arial Unicode MS" w:cs="Arial Unicode MS" w:eastAsia="Arial Unicode MS"/>
                <w:sz w:val="24"/>
                <w:color w:val="000000"/>
              </w:rPr>
              <w:t>При цьому гранична сукупна вартiсть попередньо схвалених Загальними зборами акцiонерiв значних правочинiв, в тому числi з усiма змiнами та доповненнями до них, щодо:</w:t>
            </w:r>
            <w:r>
              <w:br/>
            </w:r>
            <w:r>
              <w:rPr>
                <w:rFonts w:ascii="Arial Unicode MS" w:hAnsi="Arial Unicode MS" w:cs="Arial Unicode MS" w:eastAsia="Arial Unicode MS"/>
                <w:sz w:val="24"/>
                <w:color w:val="000000"/>
              </w:rPr>
              <w:t>-одержання Товариством та iншими пов’язаними юридичних осiб, дочiрнiми пiдприємствами (компанiй холдингу), власником/засновником яких є Товариство, кредитiв/позик (прийняття/отримання грошових зобов’язань, iншого фiнансування. коштiв/зобов’язань), овердрафтiв, гарантiй, акредитивiв та/або одержання будь-яких iнших банкiвських продуктiв/послуг - не може перевищувати 500 000 000 (п’ятсот мiльйонiв) гривень, а строк таких зобов’язань не може перевищувати 5 рокiв (проте не пiзнiше 31.12.2023 року);</w:t>
            </w:r>
            <w:r>
              <w:br/>
            </w:r>
            <w:r>
              <w:rPr>
                <w:rFonts w:ascii="Arial Unicode MS" w:hAnsi="Arial Unicode MS" w:cs="Arial Unicode MS" w:eastAsia="Arial Unicode MS"/>
                <w:sz w:val="24"/>
                <w:color w:val="000000"/>
              </w:rPr>
              <w:t>- вартiсть переданого майна Товариства та iнших пов’язаних юридичних осiб, дочiрнiх пiдприємств (компанiй холдингу), власником/засновником яких є Товариство (нерухомого, рухомого) в заставу/iпотеку та/або укладання iнших договорiв забезпечення в забезпечення виконання зобов’язань (в тому числi щодо надання фiнансової поруки шляхом укладення договору поруки) з усiма змiнами та доповненнями, не може перевищувати 1 000 000 000 (один мiльярд) грн., а строк таких зобов’язань Товариства не може перевищувати 5 рокiв (проте не пiзнiше 31.12.2023 року).</w:t>
            </w:r>
            <w:r>
              <w:br/>
            </w:r>
            <w:r>
              <w:rPr>
                <w:rFonts w:ascii="Arial Unicode MS" w:hAnsi="Arial Unicode MS" w:cs="Arial Unicode MS" w:eastAsia="Arial Unicode MS"/>
                <w:sz w:val="24"/>
                <w:color w:val="000000"/>
              </w:rPr>
              <w:t>2. Наглядовiй радi Товариства надано повноваження без отримання додаткового рiшення Загальних зборiв акцiонерiв протягом не бiльш як одного року з дати прийняття такого рiшення:</w:t>
            </w:r>
            <w:r>
              <w:br/>
            </w:r>
            <w:r>
              <w:rPr>
                <w:rFonts w:ascii="Arial Unicode MS" w:hAnsi="Arial Unicode MS" w:cs="Arial Unicode MS" w:eastAsia="Arial Unicode MS"/>
                <w:sz w:val="24"/>
                <w:color w:val="000000"/>
              </w:rPr>
              <w:t>- приймати рiшення та погоджувати умови попередньо схвалених Загальними зборами акцiонерiв значних правочинiв з усiма можливими змiнами та доповненнями, якi будуть укладатись Товариством та iнших пов’язаних юридичних осiб, дочiрнiх пiдприємств (компанiй холдингу), власником/засновником яких є Товариство;</w:t>
            </w:r>
            <w:r>
              <w:br/>
            </w:r>
            <w:r>
              <w:rPr>
                <w:rFonts w:ascii="Arial Unicode MS" w:hAnsi="Arial Unicode MS" w:cs="Arial Unicode MS" w:eastAsia="Arial Unicode MS"/>
                <w:sz w:val="24"/>
                <w:color w:val="000000"/>
              </w:rPr>
              <w:t>- приймати рiшення та погоджувати/визначати перелiк майна (нерухомого, рухомого) Товариства та iнших пов’язаних юридичних осiб, дочiрнiх пiдприємств (компанiй холдингу), власником/засновником яких є Товариство, яке пiдлягає вiдчуженню, передачi в заставу/iпотеку, придбанню, тощо;</w:t>
            </w:r>
            <w:r>
              <w:br/>
            </w:r>
            <w:r>
              <w:rPr>
                <w:rFonts w:ascii="Arial Unicode MS" w:hAnsi="Arial Unicode MS" w:cs="Arial Unicode MS" w:eastAsia="Arial Unicode MS"/>
                <w:sz w:val="24"/>
                <w:color w:val="000000"/>
              </w:rPr>
              <w:t>- приймати рiшення та погоджувати умови правочинiв (в тому числi з усiма можливими змiнами та доповненнями, якi будуть укладатись) щодо надання Товариством та iншими пов’язаними юридичних осiб, дочiрнiми пiдприємствами (компанiй холдингу), власником/засновником яких є Товариство фiнансової поруки в забезпечення виконання зобов’язань як Товариства та iнших пов’язаних юридичних осiб, дочiрнiх пiдприємств (компанiй холдингу), власником/засновником яких є Товариство.</w:t>
            </w:r>
            <w:r>
              <w:br/>
            </w:r>
            <w:r>
              <w:rPr>
                <w:rFonts w:ascii="Arial Unicode MS" w:hAnsi="Arial Unicode MS" w:cs="Arial Unicode MS" w:eastAsia="Arial Unicode MS"/>
                <w:sz w:val="24"/>
                <w:color w:val="000000"/>
              </w:rPr>
              <w:t>- приймати рiшення про надання згоди (уповноважувати з правом передоручення) на укладання (пiдписання) Головою правлiння, посадовими особами органiв управлiння Товариства та/або посадовими особами iнших пов’язаних юридичних осiб, дочiрнiх пiдприємств (компанiй холдингу), власником/засновником яких є Товариство, попередньо схвалених в цьому пунктi Порядку денного Загальними зборами акцiонерiв значних правочинiв з усiма змiнами та доповненнями до них.</w:t>
            </w:r>
            <w:r>
              <w:br/>
            </w:r>
            <w:r>
              <w:rPr>
                <w:rFonts w:ascii="Arial Unicode MS" w:hAnsi="Arial Unicode MS" w:cs="Arial Unicode MS" w:eastAsia="Arial Unicode MS"/>
                <w:sz w:val="24"/>
                <w:color w:val="000000"/>
              </w:rPr>
              <w:t>Товариство усвiдомлює, що вчинення значного правочину є чинним незалежно вiд збiльшення у майбутньому ринкової вартостi майна Товариства, збiльшення/зменшення вартостi активiв Товариства за даними останньої рiчної фiнансової звiтностi, а також можливих коливань курсу гривнi до iноземних валют.</w:t>
            </w:r>
          </w:p>
        </w:tc>
      </w:tr>
    </w:tbl>
    <w:sectPr>
      <w:pgSz w:w="11910" w:h="16845"/>
      <w:pgMar w:top="432" w:right="432" w:bottom="432" w:left="432" w:header="8" w:footer="8" w:gutter="0"/>
    </w:sectPr>
  </w:body>
</w:document>
</file>

<file path=word/fontTable.xml><?xml version="1.0" encoding="utf-8"?>
<w:fonts xmlns:r="http://schemas.openxmlformats.org/officeDocument/2006/relationships" xmlns:w="http://schemas.openxmlformats.org/wordprocessingml/2006/main">
  <w:font w:name="Arial">
    <w:charset w:val="01"/>
  </w:font>
  <w:font w:name="Arial Unicode MS">
    <w:charset w:val="01"/>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Set" Type="http://schemas.openxmlformats.org/officeDocument/2006/relationships/settings" Target="settings.xml"/></Relationships>
</file>