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pPr>
        <w:jc w:val="center"/>
        <w:outlineLvl w:val="2"/>
        <w:spacing w:after="300"/>
      </w:pPr>
      <w:r>
        <w:rPr>
          <w:rFonts w:ascii="Arial Unicode MS" w:hAnsi="Arial Unicode MS" w:cs="Arial Unicode MS" w:eastAsia="Arial Unicode MS"/>
          <w:b/>
          <w:sz w:val="28"/>
          <w:color w:val="000000"/>
        </w:rPr>
        <w:t>Титульний аркуш Повідомлення</w:t>
      </w:r>
      <w:r>
        <w:br/>
      </w:r>
      <w:r>
        <w:rPr>
          <w:rFonts w:ascii="Arial Unicode MS" w:hAnsi="Arial Unicode MS" w:cs="Arial Unicode MS" w:eastAsia="Arial Unicode MS"/>
          <w:b/>
          <w:sz w:val="28"/>
          <w:color w:val="000000"/>
        </w:rPr>
        <w:t>(Повідомлення про інформацію)</w:t>
      </w:r>
    </w:p>
    <w:tbl>
      <w:tblPr>
        <w:tblW w:w="2500" w:type="pct"/>
        <w:tblLayout w:type="fixed"/>
        <w:tblCellMar>
          <w:top w:w="15" w:type="dxa"/>
          <w:left w:w="15" w:type="dxa"/>
          <w:bottom w:w="15" w:type="dxa"/>
          <w:right w:w="15" w:type="dxa"/>
        </w:tblCellMar>
      </w:tblPr>
      <w:tblGrid>
        <w:gridCol w:w="5445"/>
      </w:tblGrid>
      <w:tr>
        <w:tc>
          <w:p>
            <w:r>
              <w:t/>
            </w:r>
          </w:p>
        </w:tc>
      </w:tr>
    </w:tbl>
    <w:p>
      <w:pPr>
        <w:ind w:left="60" w:right="60"/>
        <w:spacing w:before="60" w:after="60"/>
      </w:pPr>
      <w:r>
        <w:rPr>
          <w:rFonts w:ascii="Arial Unicode MS" w:hAnsi="Arial Unicode MS" w:cs="Arial Unicode MS" w:eastAsia="Arial Unicode MS"/>
          <w:sz w:val="24"/>
          <w:color w:val="000000"/>
        </w:rPr>
        <w:t/>
      </w:r>
    </w:p>
    <w:tbl>
      <w:tblPr>
        <w:tblW w:w="5000" w:type="pct"/>
        <w:tblLayout w:type="fixed"/>
        <w:tblCellMar>
          <w:top w:w="60" w:type="dxa"/>
          <w:left w:w="60" w:type="dxa"/>
          <w:bottom w:w="60" w:type="dxa"/>
          <w:right w:w="60" w:type="dxa"/>
        </w:tblCellMar>
      </w:tblPr>
      <w:tblGrid>
        <w:gridCol w:w="1380"/>
        <w:gridCol w:w="2385"/>
        <w:gridCol w:w="1380"/>
        <w:gridCol w:w="1395"/>
        <w:gridCol w:w="1395"/>
        <w:gridCol w:w="2955"/>
      </w:tblGrid>
      <w:tr>
        <w:tc>
          <w:tcPr>
            <w:tcBorders>
              <w:left w:val="nil"/>
              <w:top w:val="nil"/>
              <w:right w:val="nil"/>
              <w:bottom w:val="nil"/>
            </w:tcBorders>
            <w:vAlign w:val="center"/>
          </w:tcPr>
          <w:p>
            <w:r>
              <w:t/>
            </w:r>
          </w:p>
        </w:tc>
        <w:tc>
          <w:tcPr>
            <w:gridSpan w:val="3"/>
            <w:tcBorders>
              <w:left w:val="nil"/>
              <w:top w:val="nil"/>
              <w:right w:val="nil"/>
              <w:bottom w:val="nil"/>
            </w:tcBorders>
            <w:vAlign w:val="center"/>
          </w:tcPr>
          <w:p>
            <w:pPr>
              <w:jc w:val="center"/>
            </w:pPr>
            <w:r>
              <w:rPr>
                <w:rFonts w:ascii="Arial Unicode MS" w:hAnsi="Arial Unicode MS" w:cs="Arial Unicode MS" w:eastAsia="Arial Unicode MS"/>
                <w:sz w:val="24"/>
                <w:color w:val="000000"/>
              </w:rPr>
              <w:t>18.03.2020</w:t>
            </w:r>
          </w:p>
        </w:tc>
        <w:tc>
          <w:tcPr>
            <w:gridSpan w:val="2"/>
            <w:tcBorders>
              <w:left w:val="nil"/>
              <w:top w:val="nil"/>
              <w:right w:val="nil"/>
              <w:bottom w:val="nil"/>
            </w:tcBorders>
            <w:vAlign w:val="center"/>
          </w:tcPr>
          <w:p>
            <w:r>
              <w:t/>
            </w:r>
          </w:p>
        </w:tc>
      </w:tr>
      <w:tr>
        <w:tc>
          <w:tcPr>
            <w:tcBorders>
              <w:left w:val="nil"/>
              <w:top w:val="nil"/>
              <w:right w:val="nil"/>
              <w:bottom w:val="nil"/>
            </w:tcBorders>
            <w:vAlign w:val="center"/>
          </w:tcPr>
          <w:p>
            <w:r>
              <w:t/>
            </w:r>
          </w:p>
        </w:tc>
        <w:tc>
          <w:tcPr>
            <w:gridSpan w:val="3"/>
            <w:tcBorders>
              <w:left w:val="nil"/>
              <w:top w:val="inset" w:sz="6"/>
              <w:right w:val="nil"/>
              <w:bottom w:val="nil"/>
            </w:tcBorders>
            <w:vAlign w:val="center"/>
          </w:tcPr>
          <w:p>
            <w:pPr>
              <w:jc w:val="center"/>
            </w:pPr>
            <w:r>
              <w:rPr>
                <w:rFonts w:ascii="Arial Unicode MS" w:hAnsi="Arial Unicode MS" w:cs="Arial Unicode MS" w:eastAsia="Arial Unicode MS"/>
                <w:color w:val="000000"/>
              </w:rPr>
              <w:t>(дата реєстрації емітентом електронного документа)</w:t>
            </w:r>
          </w:p>
        </w:tc>
        <w:tc>
          <w:tcPr>
            <w:gridSpan w:val="2"/>
            <w:tcBorders>
              <w:left w:val="nil"/>
              <w:top w:val="nil"/>
              <w:right w:val="nil"/>
              <w:bottom w:val="nil"/>
            </w:tcBorders>
            <w:vAlign w:val="center"/>
          </w:tcPr>
          <w:p>
            <w:pPr>
              <w:jc w:val="center"/>
            </w:pPr>
            <w:r>
              <w:rPr>
                <w:rFonts w:ascii="Arial Unicode MS" w:hAnsi="Arial Unicode MS" w:cs="Arial Unicode MS" w:eastAsia="Arial Unicode MS"/>
                <w:sz w:val="24"/>
                <w:color w:val="000000"/>
              </w:rPr>
              <w:t> </w:t>
            </w:r>
          </w:p>
        </w:tc>
      </w:tr>
      <w:tr>
        <w:tc>
          <w:tcPr>
            <w:tcBorders>
              <w:left w:val="nil"/>
              <w:top w:val="nil"/>
              <w:right w:val="nil"/>
              <w:bottom w:val="nil"/>
            </w:tcBorders>
            <w:vAlign w:val="center"/>
          </w:tcPr>
          <w:p>
            <w:pPr>
              <w:jc w:val="right"/>
            </w:pPr>
            <w:r>
              <w:rPr>
                <w:rFonts w:ascii="Arial Unicode MS" w:hAnsi="Arial Unicode MS" w:cs="Arial Unicode MS" w:eastAsia="Arial Unicode MS"/>
                <w:sz w:val="24"/>
                <w:color w:val="000000"/>
              </w:rPr>
              <w:t>№</w:t>
            </w:r>
          </w:p>
        </w:tc>
        <w:tc>
          <w:tcPr>
            <w:gridSpan w:val="3"/>
            <w:tcBorders>
              <w:left w:val="nil"/>
              <w:top w:val="nil"/>
              <w:right w:val="nil"/>
              <w:bottom w:val="nil"/>
            </w:tcBorders>
            <w:vAlign w:val="center"/>
          </w:tcPr>
          <w:p>
            <w:pPr>
              <w:jc w:val="center"/>
            </w:pPr>
            <w:r>
              <w:rPr>
                <w:rFonts w:ascii="Arial Unicode MS" w:hAnsi="Arial Unicode MS" w:cs="Arial Unicode MS" w:eastAsia="Arial Unicode MS"/>
                <w:sz w:val="24"/>
                <w:color w:val="000000"/>
              </w:rPr>
              <w:t>2/РI</w:t>
            </w:r>
          </w:p>
        </w:tc>
        <w:tc>
          <w:tcPr>
            <w:gridSpan w:val="2"/>
            <w:tcBorders>
              <w:left w:val="nil"/>
              <w:top w:val="nil"/>
              <w:right w:val="nil"/>
              <w:bottom w:val="nil"/>
            </w:tcBorders>
            <w:vAlign w:val="center"/>
          </w:tcPr>
          <w:p>
            <w:r>
              <w:t/>
            </w:r>
          </w:p>
        </w:tc>
      </w:tr>
      <w:tr>
        <w:tc>
          <w:tcPr>
            <w:tcBorders>
              <w:left w:val="nil"/>
              <w:top w:val="nil"/>
              <w:right w:val="nil"/>
              <w:bottom w:val="nil"/>
            </w:tcBorders>
            <w:vAlign w:val="center"/>
          </w:tcPr>
          <w:p>
            <w:r>
              <w:t/>
            </w:r>
          </w:p>
        </w:tc>
        <w:tc>
          <w:tcPr>
            <w:gridSpan w:val="3"/>
            <w:tcBorders>
              <w:left w:val="nil"/>
              <w:top w:val="inset" w:sz="6"/>
              <w:right w:val="nil"/>
              <w:bottom w:val="nil"/>
            </w:tcBorders>
            <w:vAlign w:val="center"/>
          </w:tcPr>
          <w:p>
            <w:pPr>
              <w:jc w:val="center"/>
            </w:pPr>
            <w:r>
              <w:rPr>
                <w:rFonts w:ascii="Arial Unicode MS" w:hAnsi="Arial Unicode MS" w:cs="Arial Unicode MS" w:eastAsia="Arial Unicode MS"/>
                <w:color w:val="000000"/>
              </w:rPr>
              <w:t>(вихідний реєстраційний номер електронного документа)</w:t>
            </w:r>
          </w:p>
        </w:tc>
        <w:tc>
          <w:tcPr>
            <w:gridSpan w:val="2"/>
            <w:tcBorders>
              <w:left w:val="nil"/>
              <w:top w:val="nil"/>
              <w:right w:val="nil"/>
              <w:bottom w:val="nil"/>
            </w:tcBorders>
            <w:vAlign w:val="center"/>
          </w:tcPr>
          <w:p>
            <w:pPr>
              <w:jc w:val="center"/>
            </w:pPr>
            <w:r>
              <w:rPr>
                <w:rFonts w:ascii="Arial Unicode MS" w:hAnsi="Arial Unicode MS" w:cs="Arial Unicode MS" w:eastAsia="Arial Unicode MS"/>
                <w:sz w:val="24"/>
                <w:color w:val="000000"/>
              </w:rPr>
              <w:t> </w:t>
            </w:r>
          </w:p>
        </w:tc>
      </w:tr>
      <w:tr>
        <w:tc>
          <w:tcPr>
            <w:gridSpan w:val="6"/>
            <w:tcBorders>
              <w:left w:val="nil"/>
              <w:top w:val="nil"/>
              <w:right w:val="nil"/>
              <w:bottom w:val="nil"/>
            </w:tcBorders>
            <w:vAlign w:val="center"/>
          </w:tcPr>
          <w:p>
            <w:pPr>
              <w:jc w:val="both"/>
            </w:pPr>
            <w:r>
              <w:rPr>
                <w:rFonts w:ascii="Arial Unicode MS" w:hAnsi="Arial Unicode MS" w:cs="Arial Unicode MS" w:eastAsia="Arial Unicode MS"/>
                <w:sz w:val="24"/>
                <w:color w:val="000000"/>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w:t>
            </w:r>
          </w:p>
        </w:tc>
      </w:tr>
      <w:tr>
        <w:tc>
          <w:tcPr>
            <w:tcBorders>
              <w:left w:val="nil"/>
              <w:top w:val="nil"/>
              <w:right w:val="nil"/>
              <w:bottom w:val="nil"/>
            </w:tcBorders>
            <w:vAlign w:val="center"/>
          </w:tcPr>
          <w:p>
            <w:r>
              <w:t/>
            </w:r>
          </w:p>
        </w:tc>
        <w:tc>
          <w:tcPr>
            <w:tcW w:w="2385" w:type="dxa"/>
            <w:tcBorders>
              <w:left w:val="nil"/>
              <w:top w:val="nil"/>
              <w:right w:val="nil"/>
              <w:bottom w:val="nil"/>
            </w:tcBorders>
            <w:vAlign w:val="center"/>
          </w:tcPr>
          <w:p>
            <w:pPr>
              <w:jc w:val="center"/>
            </w:pPr>
            <w:r>
              <w:rPr>
                <w:rFonts w:ascii="Arial Unicode MS" w:hAnsi="Arial Unicode MS" w:cs="Arial Unicode MS" w:eastAsia="Arial Unicode MS"/>
                <w:sz w:val="24"/>
                <w:color w:val="000000"/>
              </w:rPr>
              <w:t>Директор</w:t>
            </w:r>
          </w:p>
        </w:tc>
        <w:tc>
          <w:tcPr>
            <w:tcBorders>
              <w:left w:val="nil"/>
              <w:top w:val="nil"/>
              <w:right w:val="nil"/>
              <w:bottom w:val="nil"/>
            </w:tcBorders>
            <w:vAlign w:val="center"/>
          </w:tcPr>
          <w:p>
            <w:pPr>
              <w:jc w:val="center"/>
            </w:pPr>
            <w:r>
              <w:rPr>
                <w:rFonts w:ascii="Arial Unicode MS" w:hAnsi="Arial Unicode MS" w:cs="Arial Unicode MS" w:eastAsia="Arial Unicode MS"/>
                <w:sz w:val="24"/>
                <w:color w:val="000000"/>
              </w:rPr>
              <w:t> </w:t>
            </w:r>
          </w:p>
        </w:tc>
        <w:tc>
          <w:tcPr>
            <w:tcBorders>
              <w:left w:val="nil"/>
              <w:top w:val="nil"/>
              <w:right w:val="nil"/>
              <w:bottom w:val="nil"/>
            </w:tcBorders>
            <w:vAlign w:val="center"/>
          </w:tcPr>
          <w:p>
            <w:pPr>
              <w:jc w:val="center"/>
            </w:pPr>
            <w:r>
              <w:rPr>
                <w:rFonts w:ascii="Arial Unicode MS" w:hAnsi="Arial Unicode MS" w:cs="Arial Unicode MS" w:eastAsia="Arial Unicode MS"/>
                <w:sz w:val="24"/>
                <w:color w:val="000000"/>
              </w:rPr>
              <w:t> </w:t>
            </w:r>
          </w:p>
        </w:tc>
        <w:tc>
          <w:tcPr>
            <w:tcBorders>
              <w:left w:val="nil"/>
              <w:top w:val="nil"/>
              <w:right w:val="nil"/>
              <w:bottom w:val="nil"/>
            </w:tcBorders>
            <w:vAlign w:val="center"/>
          </w:tcPr>
          <w:p>
            <w:pPr>
              <w:jc w:val="center"/>
            </w:pPr>
            <w:r>
              <w:rPr>
                <w:rFonts w:ascii="Arial Unicode MS" w:hAnsi="Arial Unicode MS" w:cs="Arial Unicode MS" w:eastAsia="Arial Unicode MS"/>
                <w:sz w:val="24"/>
                <w:color w:val="000000"/>
              </w:rPr>
              <w:t> </w:t>
            </w:r>
          </w:p>
        </w:tc>
        <w:tc>
          <w:tcPr>
            <w:tcW w:w="2955" w:type="dxa"/>
            <w:tcBorders>
              <w:left w:val="nil"/>
              <w:top w:val="nil"/>
              <w:right w:val="nil"/>
              <w:bottom w:val="nil"/>
            </w:tcBorders>
            <w:vAlign w:val="center"/>
          </w:tcPr>
          <w:p>
            <w:pPr>
              <w:jc w:val="center"/>
            </w:pPr>
            <w:r>
              <w:rPr>
                <w:rFonts w:ascii="Arial Unicode MS" w:hAnsi="Arial Unicode MS" w:cs="Arial Unicode MS" w:eastAsia="Arial Unicode MS"/>
                <w:sz w:val="24"/>
                <w:color w:val="000000"/>
              </w:rPr>
              <w:t>Гулiєв Урфан Рiзван огли</w:t>
            </w:r>
          </w:p>
        </w:tc>
      </w:tr>
      <w:tr>
        <w:tc>
          <w:tcPr>
            <w:tcBorders>
              <w:left w:val="nil"/>
              <w:top w:val="nil"/>
              <w:right w:val="nil"/>
              <w:bottom w:val="nil"/>
            </w:tcBorders>
            <w:vAlign w:val="center"/>
          </w:tcPr>
          <w:p>
            <w:r>
              <w:t/>
            </w:r>
          </w:p>
        </w:tc>
        <w:tc>
          <w:tcPr>
            <w:tcBorders>
              <w:left w:val="nil"/>
              <w:top w:val="inset" w:sz="6"/>
              <w:right w:val="nil"/>
              <w:bottom w:val="nil"/>
            </w:tcBorders>
            <w:vAlign w:val="center"/>
          </w:tcPr>
          <w:p>
            <w:pPr>
              <w:jc w:val="center"/>
            </w:pPr>
            <w:r>
              <w:rPr>
                <w:rFonts w:ascii="Arial Unicode MS" w:hAnsi="Arial Unicode MS" w:cs="Arial Unicode MS" w:eastAsia="Arial Unicode MS"/>
                <w:color w:val="000000"/>
              </w:rPr>
              <w:t>(посада)</w:t>
            </w:r>
          </w:p>
        </w:tc>
        <w:tc>
          <w:tcPr>
            <w:tcBorders>
              <w:left w:val="nil"/>
              <w:top w:val="nil"/>
              <w:right w:val="nil"/>
              <w:bottom w:val="nil"/>
            </w:tcBorders>
            <w:vAlign w:val="center"/>
          </w:tcPr>
          <w:p>
            <w:pPr>
              <w:jc w:val="center"/>
            </w:pPr>
            <w:r>
              <w:rPr>
                <w:rFonts w:ascii="Arial Unicode MS" w:hAnsi="Arial Unicode MS" w:cs="Arial Unicode MS" w:eastAsia="Arial Unicode MS"/>
                <w:sz w:val="24"/>
                <w:color w:val="000000"/>
              </w:rPr>
              <w:t> </w:t>
            </w:r>
          </w:p>
        </w:tc>
        <w:tc>
          <w:tcPr>
            <w:tcBorders>
              <w:left w:val="nil"/>
              <w:top w:val="inset" w:sz="6"/>
              <w:right w:val="nil"/>
              <w:bottom w:val="nil"/>
            </w:tcBorders>
            <w:vAlign w:val="center"/>
          </w:tcPr>
          <w:p>
            <w:pPr>
              <w:jc w:val="center"/>
            </w:pPr>
            <w:r>
              <w:rPr>
                <w:rFonts w:ascii="Arial Unicode MS" w:hAnsi="Arial Unicode MS" w:cs="Arial Unicode MS" w:eastAsia="Arial Unicode MS"/>
                <w:color w:val="000000"/>
              </w:rPr>
              <w:t>(підпис)</w:t>
            </w:r>
          </w:p>
        </w:tc>
        <w:tc>
          <w:tcPr>
            <w:tcBorders>
              <w:left w:val="nil"/>
              <w:top w:val="nil"/>
              <w:right w:val="nil"/>
              <w:bottom w:val="nil"/>
            </w:tcBorders>
            <w:vAlign w:val="center"/>
          </w:tcPr>
          <w:p>
            <w:pPr>
              <w:jc w:val="center"/>
            </w:pPr>
            <w:r>
              <w:rPr>
                <w:rFonts w:ascii="Arial Unicode MS" w:hAnsi="Arial Unicode MS" w:cs="Arial Unicode MS" w:eastAsia="Arial Unicode MS"/>
                <w:sz w:val="24"/>
                <w:color w:val="000000"/>
              </w:rPr>
              <w:t> </w:t>
            </w:r>
          </w:p>
        </w:tc>
        <w:tc>
          <w:tcPr>
            <w:tcBorders>
              <w:left w:val="nil"/>
              <w:top w:val="inset" w:sz="6"/>
              <w:right w:val="nil"/>
              <w:bottom w:val="nil"/>
            </w:tcBorders>
            <w:vAlign w:val="center"/>
          </w:tcPr>
          <w:p>
            <w:pPr>
              <w:jc w:val="center"/>
            </w:pPr>
            <w:r>
              <w:rPr>
                <w:rFonts w:ascii="Arial Unicode MS" w:hAnsi="Arial Unicode MS" w:cs="Arial Unicode MS" w:eastAsia="Arial Unicode MS"/>
                <w:color w:val="000000"/>
              </w:rPr>
              <w:t>(прізвище та ініціали керівника)</w:t>
            </w:r>
          </w:p>
        </w:tc>
      </w:tr>
    </w:tbl>
    <w:p>
      <w:pPr>
        <w:ind w:left="60" w:right="60"/>
        <w:spacing w:before="60" w:after="60"/>
      </w:pPr>
      <w:r>
        <w:rPr>
          <w:rFonts w:ascii="Arial Unicode MS" w:hAnsi="Arial Unicode MS" w:cs="Arial Unicode MS" w:eastAsia="Arial Unicode MS"/>
          <w:sz w:val="24"/>
          <w:color w:val="000000"/>
        </w:rPr>
        <w:t/>
      </w:r>
    </w:p>
    <w:p>
      <w:pPr>
        <w:jc w:val="center"/>
        <w:outlineLvl w:val="3"/>
        <w:spacing w:after="225"/>
      </w:pPr>
      <w:r>
        <w:rPr>
          <w:rFonts w:ascii="Arial Unicode MS" w:hAnsi="Arial Unicode MS" w:cs="Arial Unicode MS" w:eastAsia="Arial Unicode MS"/>
          <w:b/>
          <w:sz w:val="24"/>
          <w:color w:val="000000"/>
        </w:rPr>
        <w:t>Особлива інформація (інформація про іпотечні цінні папери, сертифікати фонду операцій з нерухомістю) емітента</w:t>
      </w:r>
    </w:p>
    <w:p>
      <w:pPr>
        <w:jc w:val="center"/>
        <w:outlineLvl w:val="3"/>
        <w:spacing w:after="225"/>
      </w:pPr>
      <w:r>
        <w:rPr>
          <w:rFonts w:ascii="Arial Unicode MS" w:hAnsi="Arial Unicode MS" w:cs="Arial Unicode MS" w:eastAsia="Arial Unicode MS"/>
          <w:b/>
          <w:sz w:val="24"/>
          <w:color w:val="000000"/>
        </w:rPr>
        <w:t>I. Загальні відомості</w:t>
      </w:r>
    </w:p>
    <w:tbl>
      <w:tblPr>
        <w:tblW w:w="5000" w:type="pct"/>
        <w:tblLayout w:type="fixed"/>
        <w:tblCellMar>
          <w:top w:w="60" w:type="dxa"/>
          <w:left w:w="60" w:type="dxa"/>
          <w:bottom w:w="60" w:type="dxa"/>
          <w:right w:w="60" w:type="dxa"/>
        </w:tblCellMar>
      </w:tblPr>
      <w:tblGrid>
        <w:gridCol w:w="10890"/>
      </w:tblGrid>
      <w:tr>
        <w:tc>
          <w:tcPr>
            <w:vAlign w:val="center"/>
          </w:tcPr>
          <w:p>
            <w:r>
              <w:rPr>
                <w:rFonts w:ascii="Arial Unicode MS" w:hAnsi="Arial Unicode MS" w:cs="Arial Unicode MS" w:eastAsia="Arial Unicode MS"/>
                <w:sz w:val="24"/>
                <w:color w:val="000000"/>
              </w:rPr>
              <w:t>1. Повне найменування емітента</w:t>
            </w:r>
          </w:p>
        </w:tc>
      </w:tr>
      <w:tr>
        <w:tc>
          <w:tcPr>
            <w:vAlign w:val="center"/>
          </w:tcPr>
          <w:p>
            <w:pPr>
              <w:jc w:val="center"/>
            </w:pPr>
            <w:r>
              <w:rPr>
                <w:rFonts w:ascii="Arial Unicode MS" w:hAnsi="Arial Unicode MS" w:cs="Arial Unicode MS" w:eastAsia="Arial Unicode MS"/>
                <w:i/>
                <w:sz w:val="24"/>
                <w:color w:val="000000"/>
              </w:rPr>
              <w:t>Приватне акцiонерне товариство "АСНОВА ХОЛДИНГ"</w:t>
            </w:r>
          </w:p>
        </w:tc>
      </w:tr>
      <w:tr>
        <w:tc>
          <w:tcPr>
            <w:vAlign w:val="center"/>
          </w:tcPr>
          <w:p>
            <w:r>
              <w:rPr>
                <w:rFonts w:ascii="Arial Unicode MS" w:hAnsi="Arial Unicode MS" w:cs="Arial Unicode MS" w:eastAsia="Arial Unicode MS"/>
                <w:sz w:val="24"/>
                <w:color w:val="000000"/>
              </w:rPr>
              <w:t>2. Організаційно-правова форма</w:t>
            </w:r>
          </w:p>
        </w:tc>
      </w:tr>
      <w:tr>
        <w:tc>
          <w:tcPr>
            <w:vAlign w:val="center"/>
          </w:tcPr>
          <w:p>
            <w:pPr>
              <w:jc w:val="center"/>
            </w:pPr>
            <w:r>
              <w:rPr>
                <w:rFonts w:ascii="Arial Unicode MS" w:hAnsi="Arial Unicode MS" w:cs="Arial Unicode MS" w:eastAsia="Arial Unicode MS"/>
                <w:sz w:val="24"/>
                <w:color w:val="000000"/>
              </w:rPr>
              <w:t>Приватне акціонерне товариство</w:t>
            </w:r>
          </w:p>
        </w:tc>
      </w:tr>
      <w:tr>
        <w:tc>
          <w:tcPr>
            <w:vAlign w:val="center"/>
          </w:tcPr>
          <w:p>
            <w:r>
              <w:rPr>
                <w:rFonts w:ascii="Arial Unicode MS" w:hAnsi="Arial Unicode MS" w:cs="Arial Unicode MS" w:eastAsia="Arial Unicode MS"/>
                <w:sz w:val="24"/>
                <w:color w:val="000000"/>
              </w:rPr>
              <w:t>3. Місцезнаходження</w:t>
            </w:r>
          </w:p>
        </w:tc>
      </w:tr>
      <w:tr>
        <w:tc>
          <w:tcPr>
            <w:vAlign w:val="center"/>
          </w:tcPr>
          <w:p>
            <w:pPr>
              <w:jc w:val="center"/>
            </w:pPr>
            <w:r>
              <w:rPr>
                <w:rFonts w:ascii="Arial Unicode MS" w:hAnsi="Arial Unicode MS" w:cs="Arial Unicode MS" w:eastAsia="Arial Unicode MS"/>
                <w:sz w:val="24"/>
                <w:color w:val="000000"/>
              </w:rPr>
              <w:t>03115, м. Київ обл., Київ, Миколи Краснова, 27</w:t>
            </w:r>
          </w:p>
        </w:tc>
      </w:tr>
      <w:tr>
        <w:tc>
          <w:tcPr>
            <w:vAlign w:val="center"/>
          </w:tcPr>
          <w:p>
            <w:r>
              <w:rPr>
                <w:rFonts w:ascii="Arial Unicode MS" w:hAnsi="Arial Unicode MS" w:cs="Arial Unicode MS" w:eastAsia="Arial Unicode MS"/>
                <w:sz w:val="24"/>
                <w:color w:val="000000"/>
              </w:rPr>
              <w:t>4. Ідентифікаційний код юридичної особи</w:t>
            </w:r>
          </w:p>
        </w:tc>
      </w:tr>
      <w:tr>
        <w:tc>
          <w:tcPr>
            <w:vAlign w:val="center"/>
          </w:tcPr>
          <w:p>
            <w:pPr>
              <w:jc w:val="center"/>
            </w:pPr>
            <w:r>
              <w:rPr>
                <w:rFonts w:ascii="Arial Unicode MS" w:hAnsi="Arial Unicode MS" w:cs="Arial Unicode MS" w:eastAsia="Arial Unicode MS"/>
                <w:sz w:val="24"/>
                <w:color w:val="000000"/>
              </w:rPr>
              <w:t>32252776</w:t>
            </w:r>
          </w:p>
        </w:tc>
      </w:tr>
      <w:tr>
        <w:tc>
          <w:tcPr>
            <w:vAlign w:val="center"/>
          </w:tcPr>
          <w:p>
            <w:r>
              <w:rPr>
                <w:rFonts w:ascii="Arial Unicode MS" w:hAnsi="Arial Unicode MS" w:cs="Arial Unicode MS" w:eastAsia="Arial Unicode MS"/>
                <w:sz w:val="24"/>
                <w:color w:val="000000"/>
              </w:rPr>
              <w:t>5. Міжміський код та телефон, факс</w:t>
            </w:r>
          </w:p>
        </w:tc>
      </w:tr>
      <w:tr>
        <w:tc>
          <w:tcPr>
            <w:vAlign w:val="center"/>
          </w:tcPr>
          <w:p>
            <w:pPr>
              <w:jc w:val="center"/>
            </w:pPr>
            <w:r>
              <w:rPr>
                <w:rFonts w:ascii="Arial Unicode MS" w:hAnsi="Arial Unicode MS" w:cs="Arial Unicode MS" w:eastAsia="Arial Unicode MS"/>
                <w:sz w:val="24"/>
                <w:color w:val="000000"/>
              </w:rPr>
              <w:t>+380444529886 +380444529886</w:t>
            </w:r>
          </w:p>
        </w:tc>
      </w:tr>
      <w:tr>
        <w:tc>
          <w:tcPr>
            <w:vAlign w:val="center"/>
          </w:tcPr>
          <w:p>
            <w:r>
              <w:rPr>
                <w:rFonts w:ascii="Arial Unicode MS" w:hAnsi="Arial Unicode MS" w:cs="Arial Unicode MS" w:eastAsia="Arial Unicode MS"/>
                <w:sz w:val="24"/>
                <w:color w:val="000000"/>
              </w:rPr>
              <w:t>6. Адреса електронної пошти</w:t>
            </w:r>
          </w:p>
        </w:tc>
      </w:tr>
      <w:tr>
        <w:tc>
          <w:tcPr>
            <w:vAlign w:val="center"/>
          </w:tcPr>
          <w:p>
            <w:pPr>
              <w:jc w:val="center"/>
            </w:pPr>
            <w:r>
              <w:rPr>
                <w:rFonts w:ascii="Arial Unicode MS" w:hAnsi="Arial Unicode MS" w:cs="Arial Unicode MS" w:eastAsia="Arial Unicode MS"/>
                <w:sz w:val="24"/>
                <w:color w:val="000000"/>
              </w:rPr>
              <w:t>steblyanko.i@asnova.com</w:t>
            </w:r>
          </w:p>
        </w:tc>
      </w:tr>
      <w:tr>
        <w:tc>
          <w:p>
            <w:r>
              <w:t/>
            </w:r>
          </w:p>
        </w:tc>
      </w:tr>
      <w:tr>
        <w:tc>
          <w:tcPr>
            <w:vAlign w:val="center"/>
          </w:tcPr>
          <w:p>
            <w:r>
              <w:rPr>
                <w:rFonts w:ascii="Arial Unicode MS" w:hAnsi="Arial Unicode MS" w:cs="Arial Unicode MS" w:eastAsia="Arial Unicode MS"/>
                <w:sz w:val="24"/>
                <w:color w:val="000000"/>
              </w:rPr>
              <w:t>7.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оприлюднення регульованої інформації від імені учасника фондового ринку.</w:t>
            </w:r>
          </w:p>
        </w:tc>
      </w:tr>
      <w:tr>
        <w:tc>
          <w:tcPr>
            <w:vAlign w:val="center"/>
          </w:tcPr>
          <w:p>
            <w:pPr>
              <w:jc w:val="center"/>
            </w:pPr>
            <w:r>
              <w:rPr>
                <w:rFonts w:ascii="Arial Unicode MS" w:hAnsi="Arial Unicode MS" w:cs="Arial Unicode MS" w:eastAsia="Arial Unicode MS"/>
                <w:sz w:val="24"/>
                <w:color w:val="000000"/>
              </w:rPr>
              <w:t>Державна установа «Агентство з розвитку iнфраструктури фондового ринку України»</w:t>
            </w:r>
            <w:r>
              <w:br/>
            </w:r>
            <w:r>
              <w:rPr>
                <w:rFonts w:ascii="Arial Unicode MS" w:hAnsi="Arial Unicode MS" w:cs="Arial Unicode MS" w:eastAsia="Arial Unicode MS"/>
                <w:sz w:val="24"/>
                <w:color w:val="000000"/>
              </w:rPr>
              <w:t>21676262</w:t>
            </w:r>
            <w:r>
              <w:br/>
            </w:r>
            <w:r>
              <w:rPr>
                <w:rFonts w:ascii="Arial Unicode MS" w:hAnsi="Arial Unicode MS" w:cs="Arial Unicode MS" w:eastAsia="Arial Unicode MS"/>
                <w:sz w:val="24"/>
                <w:color w:val="000000"/>
              </w:rPr>
              <w:t>УКРАЇНА</w:t>
            </w:r>
            <w:r>
              <w:br/>
            </w:r>
            <w:r>
              <w:rPr>
                <w:rFonts w:ascii="Arial Unicode MS" w:hAnsi="Arial Unicode MS" w:cs="Arial Unicode MS" w:eastAsia="Arial Unicode MS"/>
                <w:sz w:val="24"/>
                <w:color w:val="000000"/>
              </w:rPr>
              <w:t>DR/00001/APA</w:t>
            </w:r>
          </w:p>
        </w:tc>
      </w:tr>
      <w:tr>
        <w:tc>
          <w:p>
            <w:r>
              <w:t/>
            </w:r>
          </w:p>
        </w:tc>
      </w:tr>
    </w:tbl>
    <w:p>
      <w:pPr>
        <w:ind w:left="60" w:right="60"/>
        <w:spacing w:before="60" w:after="60"/>
      </w:pPr>
      <w:r>
        <w:rPr>
          <w:rFonts w:ascii="Arial Unicode MS" w:hAnsi="Arial Unicode MS" w:cs="Arial Unicode MS" w:eastAsia="Arial Unicode MS"/>
          <w:sz w:val="24"/>
          <w:color w:val="000000"/>
        </w:rPr>
        <w:t/>
      </w:r>
    </w:p>
    <w:p>
      <w:pPr>
        <w:jc w:val="center"/>
        <w:outlineLvl w:val="3"/>
        <w:spacing w:after="225"/>
      </w:pPr>
      <w:r>
        <w:rPr>
          <w:rFonts w:ascii="Arial Unicode MS" w:hAnsi="Arial Unicode MS" w:cs="Arial Unicode MS" w:eastAsia="Arial Unicode MS"/>
          <w:b/>
          <w:sz w:val="24"/>
          <w:color w:val="000000"/>
        </w:rPr>
        <w:t>II. Дані про дату та місце оприлюднення Повідомлення (Повідомлення про інформацію)</w:t>
      </w:r>
    </w:p>
    <w:tbl>
      <w:tblPr>
        <w:tblW w:w="5000" w:type="pct"/>
        <w:tblLayout w:type="fixed"/>
        <w:tblCellMar>
          <w:top w:w="60" w:type="dxa"/>
          <w:left w:w="60" w:type="dxa"/>
          <w:bottom w:w="60" w:type="dxa"/>
          <w:right w:w="60" w:type="dxa"/>
        </w:tblCellMar>
      </w:tblPr>
      <w:tblGrid>
        <w:gridCol w:w="2715"/>
        <w:gridCol w:w="2715"/>
        <w:gridCol w:w="2730"/>
        <w:gridCol w:w="2730"/>
      </w:tblGrid>
      <w:tr>
        <w:tc>
          <w:tcPr>
            <w:tcBorders>
              <w:left w:val="nil"/>
              <w:top w:val="nil"/>
              <w:right w:val="nil"/>
              <w:bottom w:val="nil"/>
            </w:tcBorders>
            <w:vAlign w:val="center"/>
          </w:tcPr>
          <w:p>
            <w:r>
              <w:rPr>
                <w:rFonts w:ascii="Arial Unicode MS" w:hAnsi="Arial Unicode MS" w:cs="Arial Unicode MS" w:eastAsia="Arial Unicode MS"/>
                <w:sz w:val="24"/>
                <w:color w:val="000000"/>
              </w:rPr>
              <w:t>Повідомлення розміщено на власному веб-сайті учасника фондового ринку</w:t>
            </w:r>
          </w:p>
        </w:tc>
        <w:tc>
          <w:tcPr>
            <w:tcBorders>
              <w:left w:val="nil"/>
              <w:top w:val="nil"/>
              <w:right w:val="nil"/>
              <w:bottom w:val="nil"/>
            </w:tcBorders>
            <w:vAlign w:val="center"/>
          </w:tcPr>
          <w:p>
            <w:pPr>
              <w:jc w:val="center"/>
            </w:pPr>
            <w:r>
              <w:rPr>
                <w:rFonts w:ascii="Arial Unicode MS" w:hAnsi="Arial Unicode MS" w:cs="Arial Unicode MS" w:eastAsia="Arial Unicode MS"/>
                <w:sz w:val="24"/>
                <w:color w:val="000000"/>
              </w:rPr>
              <w:t>http://asnova.com/</w:t>
            </w:r>
          </w:p>
        </w:tc>
        <w:tc>
          <w:tcPr>
            <w:tcBorders>
              <w:left w:val="nil"/>
              <w:top w:val="nil"/>
              <w:right w:val="nil"/>
              <w:bottom w:val="nil"/>
            </w:tcBorders>
            <w:vAlign w:val="center"/>
          </w:tcPr>
          <w:p>
            <w:pPr>
              <w:jc w:val="center"/>
            </w:pPr>
            <w:r>
              <w:rPr>
                <w:rFonts w:ascii="Arial Unicode MS" w:hAnsi="Arial Unicode MS" w:cs="Arial Unicode MS" w:eastAsia="Arial Unicode MS"/>
                <w:sz w:val="24"/>
                <w:color w:val="000000"/>
              </w:rPr>
              <w:t> </w:t>
            </w:r>
          </w:p>
        </w:tc>
        <w:tc>
          <w:tcPr>
            <w:tcBorders>
              <w:left w:val="nil"/>
              <w:top w:val="nil"/>
              <w:right w:val="nil"/>
              <w:bottom w:val="nil"/>
            </w:tcBorders>
            <w:vAlign w:val="center"/>
          </w:tcPr>
          <w:p>
            <w:pPr>
              <w:jc w:val="center"/>
            </w:pPr>
            <w:r>
              <w:rPr>
                <w:rFonts w:ascii="Arial Unicode MS" w:hAnsi="Arial Unicode MS" w:cs="Arial Unicode MS" w:eastAsia="Arial Unicode MS"/>
                <w:sz w:val="24"/>
                <w:color w:val="000000"/>
              </w:rPr>
              <w:t>18.03.2020</w:t>
            </w:r>
          </w:p>
        </w:tc>
      </w:tr>
      <w:tr>
        <w:tc>
          <w:tcPr>
            <w:tcBorders>
              <w:left w:val="nil"/>
              <w:top w:val="nil"/>
              <w:right w:val="nil"/>
              <w:bottom w:val="nil"/>
            </w:tcBorders>
            <w:vAlign w:val="center"/>
          </w:tcPr>
          <w:p>
            <w:r>
              <w:t/>
            </w:r>
          </w:p>
        </w:tc>
        <w:tc>
          <w:tcPr>
            <w:tcBorders>
              <w:left w:val="nil"/>
              <w:top w:val="inset" w:sz="6"/>
              <w:right w:val="nil"/>
              <w:bottom w:val="nil"/>
            </w:tcBorders>
            <w:vAlign w:val="center"/>
          </w:tcPr>
          <w:p>
            <w:pPr>
              <w:jc w:val="center"/>
            </w:pPr>
            <w:r>
              <w:rPr>
                <w:rFonts w:ascii="Arial Unicode MS" w:hAnsi="Arial Unicode MS" w:cs="Arial Unicode MS" w:eastAsia="Arial Unicode MS"/>
                <w:color w:val="000000"/>
              </w:rPr>
              <w:t>(адреса сторінки)</w:t>
            </w:r>
          </w:p>
        </w:tc>
        <w:tc>
          <w:tcPr>
            <w:tcBorders>
              <w:left w:val="nil"/>
              <w:top w:val="nil"/>
              <w:right w:val="nil"/>
              <w:bottom w:val="nil"/>
            </w:tcBorders>
            <w:vAlign w:val="center"/>
          </w:tcPr>
          <w:p>
            <w:r>
              <w:t/>
            </w:r>
          </w:p>
        </w:tc>
        <w:tc>
          <w:tcPr>
            <w:tcBorders>
              <w:left w:val="nil"/>
              <w:top w:val="inset" w:sz="6"/>
              <w:right w:val="nil"/>
              <w:bottom w:val="nil"/>
            </w:tcBorders>
            <w:vAlign w:val="center"/>
          </w:tcPr>
          <w:p>
            <w:pPr>
              <w:jc w:val="center"/>
            </w:pPr>
            <w:r>
              <w:rPr>
                <w:rFonts w:ascii="Arial Unicode MS" w:hAnsi="Arial Unicode MS" w:cs="Arial Unicode MS" w:eastAsia="Arial Unicode MS"/>
                <w:color w:val="000000"/>
              </w:rPr>
              <w:t>(дата)</w:t>
            </w:r>
          </w:p>
        </w:tc>
      </w:tr>
    </w:tbl>
    <w:p>
      <w:pPr>
        <w:jc w:val="center"/>
        <w:outlineLvl w:val="2"/>
        <w:spacing w:after="300"/>
      </w:pPr>
      <w:r>
        <w:rPr>
          <w:rFonts w:ascii="Arial Unicode MS" w:hAnsi="Arial Unicode MS" w:cs="Arial Unicode MS" w:eastAsia="Arial Unicode MS"/>
          <w:b/>
          <w:sz w:val="28"/>
          <w:color w:val="000000"/>
        </w:rPr>
        <w:t>Відомості про прийняття рішення про виплату дивідендів</w:t>
      </w:r>
    </w:p>
    <w:tbl>
      <w:tblPr>
        <w:tblW w:w="5000" w:type="pct"/>
        <w:tblLayout w:type="fixed"/>
        <w:tblCellMar>
          <w:top w:w="60" w:type="dxa"/>
          <w:left w:w="60" w:type="dxa"/>
          <w:bottom w:w="60" w:type="dxa"/>
          <w:right w:w="60" w:type="dxa"/>
        </w:tblCellMar>
      </w:tblPr>
      <w:tblGrid>
        <w:gridCol w:w="540"/>
        <w:gridCol w:w="1080"/>
        <w:gridCol w:w="2160"/>
        <w:gridCol w:w="1080"/>
        <w:gridCol w:w="1080"/>
        <w:gridCol w:w="1650"/>
        <w:gridCol w:w="1650"/>
        <w:gridCol w:w="1650"/>
      </w:tblGrid>
      <w:tr>
        <w:tc>
          <w:tcPr>
            <w:tcW w:w="250" w:type="pct"/>
            <w:tcBorders>
              <w:left w:val="single" w:sz="6" w:color="000000"/>
              <w:top w:val="single" w:sz="6" w:color="000000"/>
              <w:right w:val="single" w:sz="6" w:color="000000"/>
              <w:bottom w:val="single" w:sz="6" w:color="000000"/>
            </w:tcBorders>
            <w:vAlign w:val="center"/>
          </w:tcPr>
          <w:p>
            <w:pPr>
              <w:jc w:val="center"/>
            </w:pPr>
            <w:r>
              <w:rPr>
                <w:rFonts w:ascii="Arial Unicode MS" w:hAnsi="Arial Unicode MS" w:cs="Arial Unicode MS" w:eastAsia="Arial Unicode MS"/>
                <w:b/>
                <w:sz w:val="24"/>
                <w:color w:val="000000"/>
              </w:rPr>
              <w:t>№ з/п</w:t>
            </w:r>
          </w:p>
        </w:tc>
        <w:tc>
          <w:tcPr>
            <w:tcW w:w="500" w:type="pct"/>
            <w:tcBorders>
              <w:left w:val="single" w:sz="6" w:color="000000"/>
              <w:top w:val="single" w:sz="6" w:color="000000"/>
              <w:right w:val="single" w:sz="6" w:color="000000"/>
              <w:bottom w:val="single" w:sz="6" w:color="000000"/>
            </w:tcBorders>
            <w:vAlign w:val="center"/>
          </w:tcPr>
          <w:p>
            <w:pPr>
              <w:jc w:val="center"/>
            </w:pPr>
            <w:r>
              <w:rPr>
                <w:rFonts w:ascii="Arial Unicode MS" w:hAnsi="Arial Unicode MS" w:cs="Arial Unicode MS" w:eastAsia="Arial Unicode MS"/>
                <w:b/>
                <w:sz w:val="24"/>
                <w:color w:val="000000"/>
              </w:rPr>
              <w:t>Дата вчинення дії</w:t>
            </w:r>
          </w:p>
        </w:tc>
        <w:tc>
          <w:tcPr>
            <w:tcW w:w="1000" w:type="pct"/>
            <w:tcBorders>
              <w:left w:val="single" w:sz="6" w:color="000000"/>
              <w:top w:val="single" w:sz="6" w:color="000000"/>
              <w:right w:val="single" w:sz="6" w:color="000000"/>
              <w:bottom w:val="single" w:sz="6" w:color="000000"/>
            </w:tcBorders>
            <w:vAlign w:val="center"/>
          </w:tcPr>
          <w:p>
            <w:pPr>
              <w:jc w:val="center"/>
            </w:pPr>
            <w:r>
              <w:rPr>
                <w:rFonts w:ascii="Arial Unicode MS" w:hAnsi="Arial Unicode MS" w:cs="Arial Unicode MS" w:eastAsia="Arial Unicode MS"/>
                <w:b/>
                <w:sz w:val="24"/>
                <w:color w:val="000000"/>
              </w:rPr>
              <w:t>Розмір дивідендів, що підлягають виплаті, грн</w:t>
            </w:r>
          </w:p>
        </w:tc>
        <w:tc>
          <w:tcPr>
            <w:tcW w:w="500" w:type="pct"/>
            <w:tcBorders>
              <w:left w:val="single" w:sz="6" w:color="000000"/>
              <w:top w:val="single" w:sz="6" w:color="000000"/>
              <w:right w:val="single" w:sz="6" w:color="000000"/>
              <w:bottom w:val="single" w:sz="6" w:color="000000"/>
            </w:tcBorders>
            <w:vAlign w:val="center"/>
          </w:tcPr>
          <w:p>
            <w:pPr>
              <w:jc w:val="center"/>
            </w:pPr>
            <w:r>
              <w:rPr>
                <w:rFonts w:ascii="Arial Unicode MS" w:hAnsi="Arial Unicode MS" w:cs="Arial Unicode MS" w:eastAsia="Arial Unicode MS"/>
                <w:b/>
                <w:sz w:val="24"/>
                <w:color w:val="000000"/>
              </w:rPr>
              <w:t>Строк виплати дивідендів</w:t>
            </w:r>
          </w:p>
        </w:tc>
        <w:tc>
          <w:tcPr>
            <w:tcW w:w="500" w:type="pct"/>
            <w:tcBorders>
              <w:left w:val="single" w:sz="6" w:color="000000"/>
              <w:top w:val="single" w:sz="6" w:color="000000"/>
              <w:right w:val="single" w:sz="6" w:color="000000"/>
              <w:bottom w:val="single" w:sz="6" w:color="000000"/>
            </w:tcBorders>
            <w:vAlign w:val="center"/>
          </w:tcPr>
          <w:p>
            <w:pPr>
              <w:jc w:val="center"/>
            </w:pPr>
            <w:r>
              <w:rPr>
                <w:rFonts w:ascii="Arial Unicode MS" w:hAnsi="Arial Unicode MS" w:cs="Arial Unicode MS" w:eastAsia="Arial Unicode MS"/>
                <w:b/>
                <w:sz w:val="24"/>
                <w:color w:val="000000"/>
              </w:rPr>
              <w:t>Спосіб виплати дивідендів</w:t>
            </w:r>
          </w:p>
        </w:tc>
        <w:tc>
          <w:tcPr>
            <w:tcBorders>
              <w:left w:val="single" w:sz="6" w:color="A0A0A0"/>
              <w:top w:val="single" w:sz="6" w:color="A0A0A0"/>
              <w:right w:val="single" w:sz="6" w:color="A0A0A0"/>
              <w:bottom w:val="single" w:sz="6" w:color="A0A0A0"/>
            </w:tcBorders>
          </w:tcPr>
          <w:p>
            <w:r>
              <w:t/>
            </w:r>
          </w:p>
        </w:tc>
        <w:tc>
          <w:tcPr>
            <w:tcBorders>
              <w:left w:val="single" w:sz="6" w:color="A0A0A0"/>
              <w:top w:val="single" w:sz="6" w:color="A0A0A0"/>
              <w:right w:val="single" w:sz="6" w:color="A0A0A0"/>
              <w:bottom w:val="single" w:sz="6" w:color="A0A0A0"/>
            </w:tcBorders>
          </w:tcPr>
          <w:p>
            <w:r>
              <w:t/>
            </w:r>
          </w:p>
        </w:tc>
        <w:tc>
          <w:tcPr>
            <w:tcBorders>
              <w:left w:val="single" w:sz="6" w:color="A0A0A0"/>
              <w:top w:val="single" w:sz="6" w:color="A0A0A0"/>
              <w:right w:val="single" w:sz="6" w:color="A0A0A0"/>
              <w:bottom w:val="single" w:sz="6" w:color="A0A0A0"/>
            </w:tcBorders>
          </w:tcPr>
          <w:p>
            <w:r>
              <w:t/>
            </w:r>
          </w:p>
        </w:tc>
      </w:tr>
      <w:tr>
        <w:tc>
          <w:tcPr>
            <w:tcBorders>
              <w:left w:val="single" w:sz="6" w:color="000000"/>
              <w:top w:val="single" w:sz="6" w:color="000000"/>
              <w:right w:val="single" w:sz="6" w:color="000000"/>
              <w:bottom w:val="single" w:sz="6" w:color="000000"/>
            </w:tcBorders>
            <w:vAlign w:val="center"/>
          </w:tcPr>
          <w:p>
            <w:pPr>
              <w:jc w:val="center"/>
            </w:pPr>
            <w:r>
              <w:rPr>
                <w:rFonts w:ascii="Arial Unicode MS" w:hAnsi="Arial Unicode MS" w:cs="Arial Unicode MS" w:eastAsia="Arial Unicode MS"/>
                <w:b/>
                <w:sz w:val="24"/>
                <w:color w:val="000000"/>
              </w:rPr>
              <w:t>1</w:t>
            </w:r>
          </w:p>
        </w:tc>
        <w:tc>
          <w:tcPr>
            <w:tcBorders>
              <w:left w:val="single" w:sz="6" w:color="000000"/>
              <w:top w:val="single" w:sz="6" w:color="000000"/>
              <w:right w:val="single" w:sz="6" w:color="000000"/>
              <w:bottom w:val="single" w:sz="6" w:color="000000"/>
            </w:tcBorders>
            <w:vAlign w:val="center"/>
          </w:tcPr>
          <w:p>
            <w:pPr>
              <w:jc w:val="center"/>
            </w:pPr>
            <w:r>
              <w:rPr>
                <w:rFonts w:ascii="Arial Unicode MS" w:hAnsi="Arial Unicode MS" w:cs="Arial Unicode MS" w:eastAsia="Arial Unicode MS"/>
                <w:b/>
                <w:sz w:val="24"/>
                <w:color w:val="000000"/>
              </w:rPr>
              <w:t>2</w:t>
            </w:r>
          </w:p>
        </w:tc>
        <w:tc>
          <w:tcPr>
            <w:tcBorders>
              <w:left w:val="single" w:sz="6" w:color="000000"/>
              <w:top w:val="single" w:sz="6" w:color="000000"/>
              <w:right w:val="single" w:sz="6" w:color="000000"/>
              <w:bottom w:val="single" w:sz="6" w:color="000000"/>
            </w:tcBorders>
            <w:vAlign w:val="center"/>
          </w:tcPr>
          <w:p>
            <w:pPr>
              <w:jc w:val="center"/>
            </w:pPr>
            <w:r>
              <w:rPr>
                <w:rFonts w:ascii="Arial Unicode MS" w:hAnsi="Arial Unicode MS" w:cs="Arial Unicode MS" w:eastAsia="Arial Unicode MS"/>
                <w:b/>
                <w:sz w:val="24"/>
                <w:color w:val="000000"/>
              </w:rPr>
              <w:t>3</w:t>
            </w:r>
          </w:p>
        </w:tc>
        <w:tc>
          <w:tcPr>
            <w:tcBorders>
              <w:left w:val="single" w:sz="6" w:color="000000"/>
              <w:top w:val="single" w:sz="6" w:color="000000"/>
              <w:right w:val="single" w:sz="6" w:color="000000"/>
              <w:bottom w:val="single" w:sz="6" w:color="000000"/>
            </w:tcBorders>
            <w:vAlign w:val="center"/>
          </w:tcPr>
          <w:p>
            <w:pPr>
              <w:jc w:val="center"/>
            </w:pPr>
            <w:r>
              <w:rPr>
                <w:rFonts w:ascii="Arial Unicode MS" w:hAnsi="Arial Unicode MS" w:cs="Arial Unicode MS" w:eastAsia="Arial Unicode MS"/>
                <w:b/>
                <w:sz w:val="24"/>
                <w:color w:val="000000"/>
              </w:rPr>
              <w:t>4</w:t>
            </w:r>
          </w:p>
        </w:tc>
        <w:tc>
          <w:tcPr>
            <w:tcBorders>
              <w:left w:val="single" w:sz="6" w:color="000000"/>
              <w:top w:val="single" w:sz="6" w:color="000000"/>
              <w:right w:val="single" w:sz="6" w:color="000000"/>
              <w:bottom w:val="single" w:sz="6" w:color="000000"/>
            </w:tcBorders>
            <w:vAlign w:val="center"/>
          </w:tcPr>
          <w:p>
            <w:pPr>
              <w:jc w:val="center"/>
            </w:pPr>
            <w:r>
              <w:rPr>
                <w:rFonts w:ascii="Arial Unicode MS" w:hAnsi="Arial Unicode MS" w:cs="Arial Unicode MS" w:eastAsia="Arial Unicode MS"/>
                <w:b/>
                <w:sz w:val="24"/>
                <w:color w:val="000000"/>
              </w:rPr>
              <w:t>5</w:t>
            </w:r>
          </w:p>
        </w:tc>
        <w:tc>
          <w:tcPr>
            <w:tcBorders>
              <w:left w:val="single" w:sz="6" w:color="A0A0A0"/>
              <w:top w:val="single" w:sz="6" w:color="A0A0A0"/>
              <w:right w:val="single" w:sz="6" w:color="A0A0A0"/>
              <w:bottom w:val="single" w:sz="6" w:color="A0A0A0"/>
            </w:tcBorders>
          </w:tcPr>
          <w:p>
            <w:r>
              <w:t/>
            </w:r>
          </w:p>
        </w:tc>
        <w:tc>
          <w:tcPr>
            <w:tcBorders>
              <w:left w:val="single" w:sz="6" w:color="A0A0A0"/>
              <w:top w:val="single" w:sz="6" w:color="A0A0A0"/>
              <w:right w:val="single" w:sz="6" w:color="A0A0A0"/>
              <w:bottom w:val="single" w:sz="6" w:color="A0A0A0"/>
            </w:tcBorders>
          </w:tcPr>
          <w:p>
            <w:r>
              <w:t/>
            </w:r>
          </w:p>
        </w:tc>
        <w:tc>
          <w:tcPr>
            <w:tcBorders>
              <w:left w:val="single" w:sz="6" w:color="A0A0A0"/>
              <w:top w:val="single" w:sz="6" w:color="A0A0A0"/>
              <w:right w:val="single" w:sz="6" w:color="A0A0A0"/>
              <w:bottom w:val="single" w:sz="6" w:color="A0A0A0"/>
            </w:tcBorders>
          </w:tcPr>
          <w:p>
            <w:r>
              <w:t/>
            </w:r>
          </w:p>
        </w:tc>
      </w:tr>
      <w:tr>
        <w:tc>
          <w:tcPr>
            <w:tcBorders>
              <w:left w:val="single" w:sz="6" w:color="000000"/>
              <w:top w:val="single" w:sz="6" w:color="000000"/>
              <w:right w:val="single" w:sz="6" w:color="000000"/>
              <w:bottom w:val="single" w:sz="6" w:color="000000"/>
            </w:tcBorders>
            <w:vAlign w:val="center"/>
          </w:tcPr>
          <w:p>
            <w:pPr>
              <w:jc w:val="center"/>
            </w:pPr>
            <w:r>
              <w:rPr>
                <w:rFonts w:ascii="Arial Unicode MS" w:hAnsi="Arial Unicode MS" w:cs="Arial Unicode MS" w:eastAsia="Arial Unicode MS"/>
                <w:sz w:val="24"/>
                <w:color w:val="000000"/>
              </w:rPr>
              <w:t>1</w:t>
            </w:r>
          </w:p>
        </w:tc>
        <w:tc>
          <w:tcPr>
            <w:tcBorders>
              <w:left w:val="single" w:sz="6" w:color="000000"/>
              <w:top w:val="single" w:sz="6" w:color="000000"/>
              <w:right w:val="single" w:sz="6" w:color="000000"/>
              <w:bottom w:val="single" w:sz="6" w:color="000000"/>
            </w:tcBorders>
            <w:vAlign w:val="center"/>
          </w:tcPr>
          <w:p>
            <w:pPr>
              <w:jc w:val="center"/>
            </w:pPr>
            <w:r>
              <w:rPr>
                <w:rFonts w:ascii="Arial Unicode MS" w:hAnsi="Arial Unicode MS" w:cs="Arial Unicode MS" w:eastAsia="Arial Unicode MS"/>
                <w:sz w:val="24"/>
                <w:color w:val="000000"/>
              </w:rPr>
              <w:t>17.03.2020</w:t>
            </w:r>
          </w:p>
        </w:tc>
        <w:tc>
          <w:tcPr>
            <w:tcBorders>
              <w:left w:val="single" w:sz="6" w:color="000000"/>
              <w:top w:val="single" w:sz="6" w:color="000000"/>
              <w:right w:val="single" w:sz="6" w:color="000000"/>
              <w:bottom w:val="single" w:sz="6" w:color="000000"/>
            </w:tcBorders>
            <w:vAlign w:val="center"/>
          </w:tcPr>
          <w:p>
            <w:pPr>
              <w:jc w:val="center"/>
            </w:pPr>
            <w:r>
              <w:rPr>
                <w:rFonts w:ascii="Arial Unicode MS" w:hAnsi="Arial Unicode MS" w:cs="Arial Unicode MS" w:eastAsia="Arial Unicode MS"/>
                <w:sz w:val="24"/>
                <w:color w:val="000000"/>
              </w:rPr>
              <w:t>49991594.00</w:t>
            </w:r>
          </w:p>
        </w:tc>
        <w:tc>
          <w:tcPr>
            <w:tcBorders>
              <w:left w:val="single" w:sz="6" w:color="000000"/>
              <w:top w:val="single" w:sz="6" w:color="000000"/>
              <w:right w:val="single" w:sz="6" w:color="000000"/>
              <w:bottom w:val="single" w:sz="6" w:color="000000"/>
            </w:tcBorders>
            <w:vAlign w:val="center"/>
          </w:tcPr>
          <w:p>
            <w:pPr>
              <w:jc w:val="center"/>
            </w:pPr>
            <w:r>
              <w:rPr>
                <w:rFonts w:ascii="Arial Unicode MS" w:hAnsi="Arial Unicode MS" w:cs="Arial Unicode MS" w:eastAsia="Arial Unicode MS"/>
                <w:sz w:val="24"/>
                <w:color w:val="000000"/>
              </w:rPr>
              <w:t>17.03.2020 - 16.09.2020</w:t>
            </w:r>
          </w:p>
        </w:tc>
        <w:tc>
          <w:tcPr>
            <w:tcBorders>
              <w:left w:val="single" w:sz="6" w:color="000000"/>
              <w:top w:val="single" w:sz="6" w:color="000000"/>
              <w:right w:val="single" w:sz="6" w:color="000000"/>
              <w:bottom w:val="single" w:sz="6" w:color="000000"/>
            </w:tcBorders>
            <w:vAlign w:val="center"/>
          </w:tcPr>
          <w:p>
            <w:pPr>
              <w:jc w:val="center"/>
            </w:pPr>
            <w:r>
              <w:rPr>
                <w:rFonts w:ascii="Arial Unicode MS" w:hAnsi="Arial Unicode MS" w:cs="Arial Unicode MS" w:eastAsia="Arial Unicode MS"/>
                <w:sz w:val="24"/>
                <w:color w:val="000000"/>
              </w:rPr>
              <w:t>безпосередньо акціонерам</w:t>
            </w:r>
          </w:p>
        </w:tc>
        <w:tc>
          <w:tcPr>
            <w:tcBorders>
              <w:left w:val="single" w:sz="6" w:color="A0A0A0"/>
              <w:top w:val="single" w:sz="6" w:color="A0A0A0"/>
              <w:right w:val="single" w:sz="6" w:color="A0A0A0"/>
              <w:bottom w:val="single" w:sz="6" w:color="A0A0A0"/>
            </w:tcBorders>
          </w:tcPr>
          <w:p>
            <w:r>
              <w:t/>
            </w:r>
          </w:p>
        </w:tc>
        <w:tc>
          <w:tcPr>
            <w:tcBorders>
              <w:left w:val="single" w:sz="6" w:color="A0A0A0"/>
              <w:top w:val="single" w:sz="6" w:color="A0A0A0"/>
              <w:right w:val="single" w:sz="6" w:color="A0A0A0"/>
              <w:bottom w:val="single" w:sz="6" w:color="A0A0A0"/>
            </w:tcBorders>
          </w:tcPr>
          <w:p>
            <w:r>
              <w:t/>
            </w:r>
          </w:p>
        </w:tc>
        <w:tc>
          <w:tcPr>
            <w:tcBorders>
              <w:left w:val="single" w:sz="6" w:color="A0A0A0"/>
              <w:top w:val="single" w:sz="6" w:color="A0A0A0"/>
              <w:right w:val="single" w:sz="6" w:color="A0A0A0"/>
              <w:bottom w:val="single" w:sz="6" w:color="A0A0A0"/>
            </w:tcBorders>
          </w:tcPr>
          <w:p>
            <w:r>
              <w:t/>
            </w:r>
          </w:p>
        </w:tc>
      </w:tr>
      <w:tr>
        <w:tc>
          <w:tcPr>
            <w:gridSpan w:val="8"/>
            <w:tcBorders>
              <w:left w:val="single" w:sz="6" w:color="000000"/>
              <w:top w:val="single" w:sz="6" w:color="000000"/>
              <w:right w:val="single" w:sz="6" w:color="000000"/>
              <w:bottom w:val="single" w:sz="6" w:color="000000"/>
            </w:tcBorders>
            <w:vAlign w:val="center"/>
          </w:tcPr>
          <w:p>
            <w:r>
              <w:rPr>
                <w:rFonts w:ascii="Arial Unicode MS" w:hAnsi="Arial Unicode MS" w:cs="Arial Unicode MS" w:eastAsia="Arial Unicode MS"/>
                <w:b/>
                <w:sz w:val="24"/>
                <w:color w:val="000000"/>
              </w:rPr>
              <w:t>Зміст інформації:</w:t>
            </w:r>
          </w:p>
        </w:tc>
      </w:tr>
      <w:tr>
        <w:tc>
          <w:tcPr>
            <w:gridSpan w:val="8"/>
            <w:tcBorders>
              <w:left w:val="single" w:sz="6" w:color="000000"/>
              <w:top w:val="single" w:sz="6" w:color="000000"/>
              <w:right w:val="single" w:sz="6" w:color="000000"/>
              <w:bottom w:val="single" w:sz="6" w:color="000000"/>
            </w:tcBorders>
            <w:vAlign w:val="center"/>
          </w:tcPr>
          <w:p>
            <w:pPr>
              <w:ind w:firstLine="195"/>
            </w:pPr>
            <w:r>
              <w:rPr>
                <w:rFonts w:ascii="Arial Unicode MS" w:hAnsi="Arial Unicode MS" w:cs="Arial Unicode MS" w:eastAsia="Arial Unicode MS"/>
                <w:sz w:val="24"/>
                <w:color w:val="000000"/>
              </w:rPr>
              <w:t>Загальними зборами ПрАТ «АСНОВА ХОЛДИНГ», що вiдбулися 17 березня 2020 року, по восьмому питанню порядку денного «Затвердження розподiлу прибутку i збиткiв (покриття збиткiв) Товариства за 2019 рiк. Прийняття рiшення про виплату дивiдендiв та затвердження розмiру рiчних дивiдендiв, порядку та строкiв їх виплати» (рiшення прийнято одноголосно) прийнятi наступнi рiшення:</w:t>
            </w:r>
            <w:r>
              <w:br/>
            </w:r>
            <w:r>
              <w:rPr>
                <w:rFonts w:ascii="Arial Unicode MS" w:hAnsi="Arial Unicode MS" w:cs="Arial Unicode MS" w:eastAsia="Arial Unicode MS"/>
                <w:sz w:val="24"/>
                <w:color w:val="000000"/>
              </w:rPr>
              <w:t>Затвердити порядок розподiлу прибутку за рахунок прибутку 2019 року.</w:t>
            </w:r>
            <w:r>
              <w:br/>
            </w:r>
            <w:r>
              <w:rPr>
                <w:rFonts w:ascii="Arial Unicode MS" w:hAnsi="Arial Unicode MS" w:cs="Arial Unicode MS" w:eastAsia="Arial Unicode MS"/>
                <w:sz w:val="24"/>
                <w:color w:val="000000"/>
              </w:rPr>
              <w:t>Направити:</w:t>
            </w:r>
            <w:r>
              <w:br/>
            </w:r>
            <w:r>
              <w:rPr>
                <w:rFonts w:ascii="Arial Unicode MS" w:hAnsi="Arial Unicode MS" w:cs="Arial Unicode MS" w:eastAsia="Arial Unicode MS"/>
                <w:sz w:val="24"/>
                <w:color w:val="000000"/>
              </w:rPr>
              <w:t>49 991 594 (сорок дев’ять мiльйонiв дев’ятсот дев’яносто одна тисяча п’ятсот дев’яносто чотири гривнi 00 коп.) грн. на виплату дивiдендiв акцiонерам та виплатити на одну акцiю номiналом 1 000,00 грн. по 4 097,00 грн., з урахуванням податку з доходу фiзичних осiб та iнших обов’язкових податкiв та зборiв, вiдповiдальнiсть за утримання та перерахування якого покладається на Товариство.</w:t>
            </w:r>
            <w:r>
              <w:br/>
            </w:r>
            <w:r>
              <w:rPr>
                <w:rFonts w:ascii="Arial Unicode MS" w:hAnsi="Arial Unicode MS" w:cs="Arial Unicode MS" w:eastAsia="Arial Unicode MS"/>
                <w:sz w:val="24"/>
                <w:color w:val="000000"/>
              </w:rPr>
              <w:t>Наглядовiй радi встановити дату складення перелiку осiб, якi мають право на отримання дивiдендiв, порядок та строк їх виплати. Зазначити, що виплата дивiдендiв здiйснюватиметься шляхом безготiвкового перерахунку суми дивiдендiв на поточнi рахунки акцiонерiв, про якi акцiонери повiдомляють Товариство. Дивiденди можуть виплачуватися частинами.</w:t>
            </w:r>
            <w:r>
              <w:br/>
            </w:r>
            <w:r>
              <w:rPr>
                <w:rFonts w:ascii="Arial Unicode MS" w:hAnsi="Arial Unicode MS" w:cs="Arial Unicode MS" w:eastAsia="Arial Unicode MS"/>
                <w:sz w:val="24"/>
                <w:color w:val="000000"/>
              </w:rPr>
              <w:t>Направити, в порядку встановленому статутом, або вручити особисто повiдомлення кожнiй особi, яка має право на отримання дивiдендiв, про дату, розмiр, порядок та строк їх виплати</w:t>
            </w:r>
            <w:r>
              <w:br/>
            </w:r>
            <w:r>
              <w:rPr>
                <w:rFonts w:ascii="Arial Unicode MS" w:hAnsi="Arial Unicode MS" w:cs="Arial Unicode MS" w:eastAsia="Arial Unicode MS"/>
                <w:sz w:val="24"/>
                <w:color w:val="000000"/>
              </w:rPr>
              <w:t>Наглядовою радою ПРАТ "АСНОВА ХОЛДИНГ" було прийнято наступне рiшення (Протокол № 474 вiд 17.03.2020 р)</w:t>
            </w:r>
            <w:r>
              <w:br/>
            </w:r>
            <w:r>
              <w:rPr>
                <w:rFonts w:ascii="Arial Unicode MS" w:hAnsi="Arial Unicode MS" w:cs="Arial Unicode MS" w:eastAsia="Arial Unicode MS"/>
                <w:sz w:val="24"/>
                <w:color w:val="000000"/>
              </w:rPr>
              <w:t>1.Призначити датою складення перелiку осiб, якi мають право на отримання дивiдендiв за акцiями 1 квiтня 2020 року (станом на 24 годину цiєї дати) та датою початку виплати дивiдендiв – 2 квiтня 2020 року. Термiн виплати дивiдендiв – не бiльше 6 (шести) мiсяцiв з дня прийняття загальними зборами рiшення про виплату дивiдендiв. Дивiденди сплачувати фiзичним особам шляхом безготiвкового перерахунку суми дивiдендiв на поточнi рахунки акцiонерiв, про якi акцiонери повiдомляють Товариство. Дивiденди можуть виплачуватися частинами. Джерелом виплати дивiдендiв є прибуток Товариства.</w:t>
            </w:r>
            <w:r>
              <w:br/>
            </w:r>
            <w:r>
              <w:rPr>
                <w:rFonts w:ascii="Arial Unicode MS" w:hAnsi="Arial Unicode MS" w:cs="Arial Unicode MS" w:eastAsia="Arial Unicode MS"/>
                <w:sz w:val="24"/>
                <w:color w:val="000000"/>
              </w:rPr>
              <w:t>2.Направити, в порядку встановленому статутом, або вручити пiд розписку повiдомлення кожнiй особi, яка має право на отримання дивiдендiв, про дату, розмiр, порядок та строк їх виплати.</w:t>
            </w:r>
            <w:r>
              <w:br/>
            </w:r>
            <w:r>
              <w:rPr>
                <w:rFonts w:ascii="Arial Unicode MS" w:hAnsi="Arial Unicode MS" w:cs="Arial Unicode MS" w:eastAsia="Arial Unicode MS"/>
                <w:sz w:val="24"/>
                <w:color w:val="000000"/>
              </w:rPr>
              <w:t/>
            </w:r>
          </w:p>
        </w:tc>
      </w:tr>
    </w:tbl>
    <w:sectPr>
      <w:pgSz w:w="11910" w:h="16845"/>
      <w:pgMar w:top="432" w:right="432" w:bottom="432" w:left="432" w:header="8" w:footer="8" w:gutter="0"/>
    </w:sectPr>
  </w:body>
</w:document>
</file>

<file path=word/fontTable.xml><?xml version="1.0" encoding="utf-8"?>
<w:fonts xmlns:r="http://schemas.openxmlformats.org/officeDocument/2006/relationships" xmlns:w="http://schemas.openxmlformats.org/wordprocessingml/2006/main">
  <w:font w:name="Arial">
    <w:charset w:val="01"/>
  </w:font>
  <w:font w:name="Arial Unicode MS">
    <w:charset w:val="01"/>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Set" Type="http://schemas.openxmlformats.org/officeDocument/2006/relationships/settings" Target="settings.xml"/></Relationships>
</file>